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AD" w:rsidRPr="005217F4" w:rsidRDefault="002D39AD" w:rsidP="002D39AD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МИНИСТЕРСТВО НАУКИ  И ВЫСШЕГО  ОБРАЗОВАНИЯ РОССИЙСКОЙ ФЕДЕРАЦИИ</w:t>
      </w:r>
    </w:p>
    <w:p w:rsidR="002D39AD" w:rsidRPr="005217F4" w:rsidRDefault="002D39AD" w:rsidP="002D39AD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 ОБРАЗОВАНИЯ</w:t>
      </w:r>
    </w:p>
    <w:p w:rsidR="002D39AD" w:rsidRPr="005217F4" w:rsidRDefault="002D39AD" w:rsidP="002D39AD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>СЕВЕРО-КАВКАЗСКАЯ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ГОСУДАРСТВЕННАЯ АКАДЕМИЯ</w:t>
      </w:r>
    </w:p>
    <w:p w:rsidR="002D39AD" w:rsidRPr="005217F4" w:rsidRDefault="002D39AD" w:rsidP="002D3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Default="002D39AD" w:rsidP="002D3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217F4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КОНСТИТУЦИОННОЕ ПРАВО</w:t>
      </w:r>
      <w:r w:rsidRPr="005217F4">
        <w:rPr>
          <w:rFonts w:ascii="Times New Roman" w:hAnsi="Times New Roman"/>
          <w:b/>
          <w:sz w:val="40"/>
          <w:szCs w:val="40"/>
        </w:rPr>
        <w:t>»</w:t>
      </w: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9AD" w:rsidRDefault="002D39AD" w:rsidP="002D39AD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39AD" w:rsidRPr="005217F4" w:rsidRDefault="002D39AD" w:rsidP="002D39AD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C1" w:rsidRDefault="005A41C1" w:rsidP="002D39AD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Методические рекомендации к самостоятельной работе, </w:t>
      </w:r>
    </w:p>
    <w:p w:rsidR="002D39AD" w:rsidRPr="005217F4" w:rsidRDefault="005A41C1" w:rsidP="002D39AD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2D39AD" w:rsidRPr="005217F4">
        <w:rPr>
          <w:rFonts w:ascii="Times New Roman" w:hAnsi="Times New Roman"/>
          <w:szCs w:val="24"/>
        </w:rPr>
        <w:t xml:space="preserve">опросы к </w:t>
      </w:r>
      <w:r w:rsidR="002D39AD">
        <w:rPr>
          <w:rFonts w:ascii="Times New Roman" w:hAnsi="Times New Roman"/>
          <w:szCs w:val="24"/>
        </w:rPr>
        <w:t>зачету</w:t>
      </w:r>
      <w:r w:rsidR="002D39AD" w:rsidRPr="005217F4">
        <w:rPr>
          <w:rFonts w:ascii="Times New Roman" w:hAnsi="Times New Roman"/>
          <w:szCs w:val="24"/>
        </w:rPr>
        <w:t>, литература</w:t>
      </w:r>
    </w:p>
    <w:p w:rsidR="002D39AD" w:rsidRPr="005217F4" w:rsidRDefault="002D39AD" w:rsidP="002D39AD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731960" w:rsidRDefault="002D39AD" w:rsidP="00731960">
      <w:pPr>
        <w:pStyle w:val="a3"/>
        <w:jc w:val="center"/>
        <w:rPr>
          <w:rFonts w:ascii="Times New Roman" w:hAnsi="Times New Roman"/>
          <w:b/>
          <w:szCs w:val="24"/>
        </w:rPr>
      </w:pPr>
      <w:r w:rsidRPr="005217F4">
        <w:rPr>
          <w:rFonts w:ascii="Times New Roman" w:hAnsi="Times New Roman"/>
          <w:b/>
          <w:szCs w:val="24"/>
        </w:rPr>
        <w:t xml:space="preserve">для </w:t>
      </w:r>
      <w:proofErr w:type="gramStart"/>
      <w:r w:rsidRPr="005217F4">
        <w:rPr>
          <w:rFonts w:ascii="Times New Roman" w:hAnsi="Times New Roman"/>
          <w:b/>
        </w:rPr>
        <w:t>обучающихся</w:t>
      </w:r>
      <w:proofErr w:type="gramEnd"/>
      <w:r w:rsidRPr="005217F4">
        <w:rPr>
          <w:rFonts w:ascii="Times New Roman" w:hAnsi="Times New Roman"/>
          <w:b/>
          <w:szCs w:val="24"/>
        </w:rPr>
        <w:t xml:space="preserve">  заочной формы обучения </w:t>
      </w:r>
      <w:r>
        <w:rPr>
          <w:rFonts w:ascii="Times New Roman" w:hAnsi="Times New Roman"/>
          <w:b/>
          <w:szCs w:val="24"/>
        </w:rPr>
        <w:t>2</w:t>
      </w:r>
      <w:r w:rsidRPr="005217F4">
        <w:rPr>
          <w:rFonts w:ascii="Times New Roman" w:hAnsi="Times New Roman"/>
          <w:b/>
          <w:szCs w:val="24"/>
        </w:rPr>
        <w:t xml:space="preserve"> курс</w:t>
      </w:r>
      <w:r>
        <w:rPr>
          <w:rFonts w:ascii="Times New Roman" w:hAnsi="Times New Roman"/>
          <w:b/>
          <w:szCs w:val="24"/>
        </w:rPr>
        <w:t>а</w:t>
      </w:r>
      <w:r w:rsidR="00731960" w:rsidRPr="00731960">
        <w:rPr>
          <w:rFonts w:ascii="Times New Roman" w:hAnsi="Times New Roman"/>
          <w:b/>
          <w:szCs w:val="24"/>
        </w:rPr>
        <w:t xml:space="preserve"> </w:t>
      </w:r>
      <w:r w:rsidR="00731960">
        <w:rPr>
          <w:rFonts w:ascii="Times New Roman" w:hAnsi="Times New Roman"/>
          <w:b/>
          <w:szCs w:val="24"/>
        </w:rPr>
        <w:t>(ускоренная форма)</w:t>
      </w:r>
    </w:p>
    <w:p w:rsidR="002D39AD" w:rsidRPr="005217F4" w:rsidRDefault="002D39AD" w:rsidP="002D39AD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2D39AD" w:rsidRPr="005217F4" w:rsidRDefault="002D39AD" w:rsidP="002D39AD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5217F4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3</w:t>
      </w:r>
      <w:r w:rsidRPr="005217F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21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Юриспруденция </w:t>
      </w:r>
    </w:p>
    <w:p w:rsidR="002D39AD" w:rsidRPr="005217F4" w:rsidRDefault="002D39AD" w:rsidP="002D39AD">
      <w:pPr>
        <w:jc w:val="center"/>
        <w:rPr>
          <w:rFonts w:ascii="Times New Roman" w:hAnsi="Times New Roman"/>
          <w:sz w:val="32"/>
          <w:szCs w:val="32"/>
        </w:rPr>
      </w:pPr>
    </w:p>
    <w:p w:rsidR="002D39AD" w:rsidRPr="005217F4" w:rsidRDefault="002D39AD" w:rsidP="002D3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9AD" w:rsidRPr="005217F4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Default="00D84041" w:rsidP="00D84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sz w:val="28"/>
          <w:szCs w:val="28"/>
        </w:rPr>
        <w:t>., доцент</w:t>
      </w:r>
    </w:p>
    <w:p w:rsidR="00D84041" w:rsidRDefault="00D84041" w:rsidP="00D84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Ф.С.</w:t>
      </w:r>
    </w:p>
    <w:p w:rsidR="002D39AD" w:rsidRPr="005217F4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5217F4" w:rsidRDefault="002D39AD" w:rsidP="002D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AD" w:rsidRPr="00731960" w:rsidRDefault="002D39AD" w:rsidP="002D39A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17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7F4">
        <w:rPr>
          <w:rFonts w:ascii="Times New Roman" w:hAnsi="Times New Roman"/>
          <w:sz w:val="28"/>
          <w:szCs w:val="28"/>
        </w:rPr>
        <w:t>Черкесск</w:t>
      </w:r>
      <w:r w:rsidR="005A41C1">
        <w:rPr>
          <w:rFonts w:ascii="Times New Roman" w:hAnsi="Times New Roman"/>
          <w:sz w:val="28"/>
          <w:szCs w:val="28"/>
        </w:rPr>
        <w:t>, 20</w:t>
      </w:r>
      <w:r w:rsidR="00143E1F" w:rsidRPr="00731960">
        <w:rPr>
          <w:rFonts w:ascii="Times New Roman" w:hAnsi="Times New Roman"/>
          <w:sz w:val="28"/>
          <w:szCs w:val="28"/>
        </w:rPr>
        <w:t>2</w:t>
      </w:r>
      <w:r w:rsidR="00001C4B">
        <w:rPr>
          <w:rFonts w:ascii="Times New Roman" w:hAnsi="Times New Roman"/>
          <w:sz w:val="28"/>
          <w:szCs w:val="28"/>
        </w:rPr>
        <w:t>3</w:t>
      </w:r>
    </w:p>
    <w:p w:rsidR="005A41C1" w:rsidRDefault="005A41C1" w:rsidP="005A41C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к самостоятельной работе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дисциплине  «Конституционное право»</w:t>
      </w:r>
    </w:p>
    <w:p w:rsidR="005A41C1" w:rsidRDefault="005A41C1" w:rsidP="005A41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самостоятельной работе обучающихся. </w:t>
      </w:r>
      <w:proofErr w:type="gramEnd"/>
    </w:p>
    <w:p w:rsidR="005A41C1" w:rsidRDefault="005A41C1" w:rsidP="005A41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Самостоятельная работа обучающихся включает: ознакомление с содержа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 отработку тем пропущенных семи</w:t>
      </w:r>
      <w:r>
        <w:rPr>
          <w:rFonts w:ascii="Times New Roman" w:hAnsi="Times New Roman"/>
          <w:spacing w:val="-3"/>
          <w:sz w:val="24"/>
          <w:szCs w:val="24"/>
        </w:rPr>
        <w:softHyphen/>
        <w:t xml:space="preserve">нарских занятий в виде конспектов, рефератов, письменных и устных ответов </w:t>
      </w:r>
      <w:r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</w:p>
    <w:p w:rsidR="005A41C1" w:rsidRDefault="005A41C1" w:rsidP="005A41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в составлении тезисов, т.е. самостоятельное краткое изложение основных мыслей прочитанного источника;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>
        <w:rPr>
          <w:rFonts w:ascii="Times New Roman" w:hAnsi="Times New Roman"/>
          <w:sz w:val="24"/>
          <w:szCs w:val="24"/>
        </w:rPr>
        <w:t>научить обучающихся выделять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5A41C1" w:rsidRDefault="005A41C1" w:rsidP="005A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Методические рекомендации по вопросам самостоятельной работе преследуют также частные цели: научить обучающихся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основанное как на логическом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/>
          <w:sz w:val="24"/>
          <w:szCs w:val="24"/>
        </w:rPr>
        <w:t>,  так и на результатах практической деятельности.</w:t>
      </w:r>
    </w:p>
    <w:p w:rsidR="005A41C1" w:rsidRDefault="005A41C1" w:rsidP="005A41C1">
      <w:pPr>
        <w:pStyle w:val="a6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5A41C1" w:rsidRDefault="005A41C1" w:rsidP="005A41C1">
      <w:pPr>
        <w:pStyle w:val="a6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изучения курса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заключается в том, что при необходимости усвоения программы дисциплины в полном объеме и наличии общих требований к качеству и уровню знаний, некоторая часть работы по изучению дисциплины осуществляется в процессе самостоятельной работы. Эта ситуация </w:t>
      </w:r>
      <w:r>
        <w:rPr>
          <w:rFonts w:ascii="Times New Roman" w:hAnsi="Times New Roman"/>
          <w:sz w:val="24"/>
          <w:szCs w:val="24"/>
        </w:rPr>
        <w:lastRenderedPageBreak/>
        <w:t>предполагает наличие повышенных требований к организации и проведению самостоятельной работы.  Поэтому 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CE3582" w:rsidRDefault="00CE3582" w:rsidP="005A41C1">
      <w:pPr>
        <w:pStyle w:val="a6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3582" w:rsidRPr="000E1039" w:rsidRDefault="00CE3582" w:rsidP="00CE3582">
      <w:pPr>
        <w:pStyle w:val="a6"/>
        <w:tabs>
          <w:tab w:val="left" w:pos="4678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039">
        <w:rPr>
          <w:rFonts w:ascii="Times New Roman" w:hAnsi="Times New Roman"/>
          <w:b/>
          <w:sz w:val="28"/>
          <w:szCs w:val="28"/>
        </w:rPr>
        <w:t xml:space="preserve">Методические указания для подготовки </w:t>
      </w:r>
      <w:proofErr w:type="gramStart"/>
      <w:r w:rsidRPr="000E103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E1039">
        <w:rPr>
          <w:rFonts w:ascii="Times New Roman" w:hAnsi="Times New Roman"/>
          <w:b/>
          <w:sz w:val="28"/>
          <w:szCs w:val="28"/>
        </w:rPr>
        <w:t xml:space="preserve"> к лекционным занятиям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Изучение дисциплины «Конституционное право </w:t>
      </w:r>
      <w:r>
        <w:rPr>
          <w:rFonts w:ascii="Times New Roman" w:hAnsi="Times New Roman"/>
          <w:sz w:val="24"/>
          <w:szCs w:val="24"/>
        </w:rPr>
        <w:t>России</w:t>
      </w:r>
      <w:r w:rsidRPr="000E1039">
        <w:rPr>
          <w:rFonts w:ascii="Times New Roman" w:hAnsi="Times New Roman"/>
          <w:sz w:val="24"/>
          <w:szCs w:val="24"/>
        </w:rPr>
        <w:t>» требует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систематического и последовательного накопления знаний, следовательно, пропуски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отдельных тем не позволяют глубоко освоить предмет. Именно поэтому контроль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 xml:space="preserve">систематической работой </w:t>
      </w:r>
      <w:proofErr w:type="gramStart"/>
      <w:r w:rsidRPr="000E10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039">
        <w:rPr>
          <w:rFonts w:ascii="Times New Roman" w:hAnsi="Times New Roman"/>
          <w:sz w:val="24"/>
          <w:szCs w:val="24"/>
        </w:rPr>
        <w:t xml:space="preserve"> всегда находится в центре внимания кафедры.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Лекции составляют основу теоретического обучения и дают систематизированные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основы научных знаний по дисциплине, раскрывают состояние и перспективы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соответствующей области науки, концентрируют внимание обучающихся на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сложных и узловых вопросах, стимулируют их активную познавательную деятельность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способствуют формированию творческого мышления.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При подготовке к лекционным занятиям обучающиеся должны ознакомиться с планами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лекций, указанными в рабочей программе, отметить непонятные термины и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подготовить вопросы с целью уточнения правильности понимания.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В ходе лекционных занятий обучающийся должен вести конспектирование </w:t>
      </w:r>
      <w:proofErr w:type="spellStart"/>
      <w:r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Pr="000E1039">
        <w:rPr>
          <w:rFonts w:ascii="Times New Roman" w:hAnsi="Times New Roman"/>
          <w:sz w:val="24"/>
          <w:szCs w:val="24"/>
        </w:rPr>
        <w:t>. Обращать внимание на категории, формулировки, раскрывающие содержание 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или иных явлений и процессов, научные выводы и практические рекомендации. Желательно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оставить в рабочих конспектах поля, на которых делать пометки из рекомендованной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литературы, дополняющие материал прослушанной лекции, а также подчеркивающие особую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важность тех или иных теоретических положений. Задавать преподавателю уточняющие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 целью уяснения теоретических положений, разрешения спорных ситуаций.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Выделяют три разновидности конспектирования: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- конспектирование письменных текстов;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- конспектирование устных сообщений (например, лекций);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-конспектирование </w:t>
      </w:r>
      <w:proofErr w:type="spellStart"/>
      <w:r w:rsidRPr="000E1039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Pr="000E1039">
        <w:rPr>
          <w:rFonts w:ascii="Times New Roman" w:hAnsi="Times New Roman"/>
          <w:sz w:val="24"/>
          <w:szCs w:val="24"/>
        </w:rPr>
        <w:t>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Конспект может быть кратким или подробным.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В основе процесса конспектирования лежит систематизация прочитанного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услышанного материала. Целью процесса служит приведение в единый порядок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 xml:space="preserve">полученных из лекции, научной статьи, учебной и методической литературы. </w:t>
      </w:r>
      <w:proofErr w:type="gramStart"/>
      <w:r w:rsidRPr="000E1039">
        <w:rPr>
          <w:rFonts w:ascii="Times New Roman" w:hAnsi="Times New Roman"/>
          <w:sz w:val="24"/>
          <w:szCs w:val="24"/>
        </w:rPr>
        <w:t>Конспектирования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является неотъемлемой формой работы обучающегося, так как в учебном процессе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сталкиваются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необходимостью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краткого изложения большого объема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материала.</w:t>
      </w:r>
      <w:proofErr w:type="gramEnd"/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Цели конспектирования: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 w:rsidRPr="000E10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E1039">
        <w:rPr>
          <w:rFonts w:ascii="Times New Roman" w:hAnsi="Times New Roman"/>
          <w:sz w:val="24"/>
          <w:szCs w:val="24"/>
        </w:rPr>
        <w:t xml:space="preserve"> навыков переработки информации, полученной в устном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или письменном виде и придание ей сжатой формы;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- выработка умений выделить основную идею, мысль из первоисточника информации;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- формирование навыков составления грамотных, логичных, кратких тезисов;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- облегчение процесса запоминания текста.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03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1039">
        <w:rPr>
          <w:rFonts w:ascii="Times New Roman" w:hAnsi="Times New Roman"/>
          <w:sz w:val="24"/>
          <w:szCs w:val="24"/>
        </w:rPr>
        <w:t xml:space="preserve"> следует обратить внимание, на то, что дословная запись текста не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является конспектом. Только структурированный тезисный текст может называться таковым.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При конспектировании необходимо обращать внимание на абзацы, их существование призвано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облегчить восприятие текста и начало новой мысли. Важно учитывать также и то, что 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мысль может быть изложена в нескольких абзацах.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lastRenderedPageBreak/>
        <w:t>Высокую скорость конспектирования могут обеспечить сокращения (общепринятые,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аббревиатуры, стрелочки, указывающие на логические связи, опорные слова, ключевые слова,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 xml:space="preserve">схемы и т.д.). Составление конспекта призвано облегчить запоминание текста. </w:t>
      </w:r>
      <w:proofErr w:type="gramStart"/>
      <w:r w:rsidRPr="000E1039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рекомендуется после его составления прочесть зафиксированные тезисы несколько раз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полного их усвоения. Допускается подчеркивание тезисов, содержащих основные мысли,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выделение их цветным маркером.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Ясность, краткость, логическая связанность тезисов – основные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конспекта. При конспектировании лекции необходимо обращать внимание не только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1039">
        <w:rPr>
          <w:rFonts w:ascii="Times New Roman" w:hAnsi="Times New Roman"/>
          <w:sz w:val="24"/>
          <w:szCs w:val="24"/>
        </w:rPr>
        <w:t>основные положения текста, но и на доказательства, примеры, цитаты, мнения ученых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практиков, которые приводит преподаватель на лекции.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Работа над конспектом лекции осуществляется по этапам: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• повторить изученный материал по конспекту;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• непонятные положения отметить на полях и уточнить;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• неоконченные фразы, пропущенные слова и другие недочеты в записях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устранить, пользуясь материалами из учебника и других источников;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• завершить техническое оформление конспекта (подчеркивания, 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главного, выделение разделов, подразделов и т.п.).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Самостоятельную работу следует начинать с доработки конспекта, желательно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тот же день, пока время не стерло содержание лекции из памяти. Работа над конспектом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не должна заканчиваться с прослушивания лекции. После лекции,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самостоятельной работы, перед тем, как открыть тетрадь с конспектом, полезно мысленно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восстановить в памяти содержание лекции, вспомнив ее структуру, основные положения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выводы.</w:t>
      </w:r>
    </w:p>
    <w:p w:rsidR="00CE3582" w:rsidRPr="000E1039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С целью доработки необходимо прочитать записи, восстановить текст в памяти,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также исправить описки, расшифровать не принятые ранее сокращения, заполнить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пропущенные места, понять текст, вникнуть в его смысл. Далее прочитать материал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рекомендуемой литературе, разрешая в ходе чтения, возникшие ранее затруднения,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вопросы, а также дополнения и исправляя свои записи. Записи должны быть наглядными,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для чего следует применять различные способы выделений. В ходе доработки конспекта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углубляются, расширяются и закрепляются знания, а также дополняется, исправляется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совершенствуется конспект. Еще лучше, если вы переработаете конспект, дадите его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новой систематизации записей. Это, несомненно, займет некоторое время, но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вами будет хорошо проработан, а конспективная запись его приведена в удобный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запоминания вид. Введение заголовков, скобок, обобщающих знаков может 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повысить качество записи. Этому может служить также подчеркивание отдельных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конспекта красным карандашом, приведение на полях или на обратной стороне листа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краткой схемы конспекта и др.</w:t>
      </w:r>
    </w:p>
    <w:p w:rsidR="00CE3582" w:rsidRPr="005217F4" w:rsidRDefault="00CE3582" w:rsidP="00CE3582">
      <w:pPr>
        <w:pStyle w:val="a6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>Непременным условием глубокого усвоения учебного материала является знание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1039">
        <w:rPr>
          <w:rFonts w:ascii="Times New Roman" w:hAnsi="Times New Roman"/>
          <w:sz w:val="24"/>
          <w:szCs w:val="24"/>
        </w:rPr>
        <w:t>основ, на которых строится изложение материала. Обращение к ранее изученному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материалу не только помогает восстановить в памяти известные положения, выводы, 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приводит разрозненные знания в систему, углубляет и расширяет их. Каждый возврат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старому материалу позволяет найти в нем что-то новое, переосмыслить его с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позиций, определить для него наиболее подходящее место в уже имеющейся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знаний. Неоднократное обращение к пройденному материалу является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>рациональной формой приобретения и закрепления знаний.</w:t>
      </w:r>
    </w:p>
    <w:p w:rsidR="005A41C1" w:rsidRDefault="005A41C1" w:rsidP="002D39AD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41C1" w:rsidRDefault="005A41C1" w:rsidP="002D39AD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39AD" w:rsidRDefault="002D39AD" w:rsidP="002D39AD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к зачету по дисциплине «Конституционное право»</w:t>
      </w:r>
    </w:p>
    <w:p w:rsidR="002D39AD" w:rsidRDefault="002D39AD" w:rsidP="002D39AD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предмет конституционного права Российской Федерации как отрасли права и науки.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конституционного права в системе права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Конституционно-правовые нормы и отношения.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 Российской Федерации, их понятие и виды.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развития конституционного права Российской Федерации на современном этапе.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источник конституционного права.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развития Конституции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свойства Конституции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Толкование Конституции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принятия и вступления в силу поправок к Конституции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пересмотра.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охрана Конституции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формы конституционного контроля.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 и его основ. 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государственности Российской Федерации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демократического государства.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России как федеративного государства.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правового государства.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разделения властей – конституционная основа осуществления государственной власти в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социального государства.  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светского государства.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государства с республиканской формой правления.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суверенитета Российской Федерации, конституционная форма его закрепления как основы конституционного строя.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Конституционно-правовое значение понятия многонационального народа Российской Федерации как носителя суверенитета и единственного источника власти.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референдумов и их правовое регулирование.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 местного самоуправление в качестве основы конституционного строя.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принципа многопартийности и практика его реализации в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политических партий. </w:t>
      </w:r>
    </w:p>
    <w:p w:rsidR="002D39AD" w:rsidRDefault="005A41C1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9AD">
        <w:rPr>
          <w:rFonts w:ascii="Times New Roman" w:hAnsi="Times New Roman" w:cs="Times New Roman"/>
          <w:sz w:val="24"/>
          <w:szCs w:val="24"/>
        </w:rPr>
        <w:t xml:space="preserve">равовой статус Общественной палаты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социально-экономической деятельности.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гарантии социальной защиты граждан.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духовно-культурной деятельности.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идеологического многообразия и его значение для демократического развития России.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основ правового статуса личности, их закрепление  в Конституции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правового статуса человека и гражданина в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принципы гражданства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Основания, условия и порядок приобретения и прекращения гражданства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детей при изменении гражданства родителей.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 гражданстве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положение иностранных граждан и лиц без гражданства в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беженцев и вынужденных переселенцев в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Российской Федерацией политического убежища.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юридическая природа и классификация конституционных прав, свобод и обязанностей.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(гражданские) права и свободы граждан: понятие и содержание.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жизнь: содержание и гарантии.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неприкосновенность частной жизни, личную и семейную тайну, защиту своей чести и доброго имени.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пользование родным языком, на свободный выбор языка общения, воспитания, обучения и творчества.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 совести. Правовые основы организации религиозных объединений.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информацию: содержание и гарантии.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права и свободы граждан Российской Федерации: понятие и содержание.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граждан Российской Федерации участвовать в управлении делами государства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Экономические, социальные и культурные права и свободы граждан: понятие и содержание.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виды гарантий  прав и свобод человека и гражданина. 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как гарант прав и свобод человека и гражданина.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Судебная защита прав и свобод человека и гражданина.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Федерации, его функции, порядок назначения, статус, полномочия.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гарантии прав и свобод человека и гражданина.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ограничения прав и свобод человека и гражданина.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федеративного устройства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природа и конституционные принципы федеративного устройства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Российской Федерации. Состав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ведения Российской Федерации.  </w:t>
      </w:r>
    </w:p>
    <w:p w:rsidR="002D39AD" w:rsidRDefault="00CE3582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27" style="position:absolute;left:0;text-align:left;margin-left:437.15pt;margin-top:17.35pt;width:49.05pt;height:30.05pt;z-index:251658240" strokecolor="white"/>
        </w:pict>
      </w:r>
      <w:r w:rsidR="002D39AD">
        <w:rPr>
          <w:rFonts w:ascii="Times New Roman" w:hAnsi="Times New Roman" w:cs="Times New Roman"/>
          <w:sz w:val="24"/>
          <w:szCs w:val="24"/>
        </w:rPr>
        <w:t xml:space="preserve">Предметы совместного ведения Российской Федерации и субъектов Российской Федерации.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принятия в Российскую Федерацию и образование в ее составе нового субъекта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коренных малочисленных народов.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субъектов Российской Федерации.  Особенности отдельных видов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субъектов Российской Федерации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изменения статуса субъекта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ведения субъектов Российской Федерации.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субъектов Российской Федерации, его понятие и принципы.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и виды органов государственной власти в Российской Федерации. Конституционные основы их классификации.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органы, не являющиеся органами государственной власти: понятие, виды, статус.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избирательного права и избирательной системы. Виды избирательных систем.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конституционно-правовое регулирование.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участники и стадии избирательного процесса.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избирательных прав.  </w:t>
      </w:r>
    </w:p>
    <w:p w:rsidR="002D39AD" w:rsidRDefault="002D39AD" w:rsidP="005A41C1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Судебная защита избирательных прав граждан. </w:t>
      </w:r>
    </w:p>
    <w:p w:rsidR="00A035F4" w:rsidRDefault="00A035F4"/>
    <w:p w:rsidR="002D39AD" w:rsidRDefault="002D39AD"/>
    <w:p w:rsidR="002D39AD" w:rsidRDefault="002D39AD"/>
    <w:p w:rsidR="002D39AD" w:rsidRDefault="002D39AD"/>
    <w:p w:rsidR="002D39AD" w:rsidRDefault="002D39AD"/>
    <w:p w:rsidR="005A41C1" w:rsidRDefault="005A41C1"/>
    <w:p w:rsidR="005A41C1" w:rsidRDefault="005A41C1"/>
    <w:p w:rsidR="005A41C1" w:rsidRDefault="005A41C1"/>
    <w:p w:rsidR="005A41C1" w:rsidRDefault="005A41C1"/>
    <w:p w:rsidR="005A41C1" w:rsidRDefault="005A41C1"/>
    <w:p w:rsidR="00CE3582" w:rsidRDefault="00CE3582">
      <w:r>
        <w:br w:type="page"/>
      </w:r>
      <w:bookmarkStart w:id="0" w:name="_GoBack"/>
      <w:bookmarkEnd w:id="0"/>
    </w:p>
    <w:p w:rsidR="002D39AD" w:rsidRDefault="002D39AD"/>
    <w:p w:rsidR="00CE3582" w:rsidRDefault="00CE3582" w:rsidP="00CE358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CE3582" w:rsidRDefault="00CE3582" w:rsidP="00CE358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82" w:rsidRDefault="00CE3582" w:rsidP="00CE358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Братановский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С. Н. Конституционное право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/ С. Н.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Братановский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, М. Ф.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Пи Ар Медиа, 2023. — 388 c. — ISBN 978-5-4497-1843-3.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https://www.iprbookshop.ru/125592.html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пользователей. - DOI: </w:t>
      </w:r>
      <w:hyperlink r:id="rId6" w:history="1">
        <w:r w:rsidRPr="00511FAD">
          <w:rPr>
            <w:rStyle w:val="a5"/>
            <w:rFonts w:ascii="Times New Roman" w:hAnsi="Times New Roman" w:cs="Times New Roman"/>
            <w:sz w:val="24"/>
            <w:szCs w:val="24"/>
          </w:rPr>
          <w:t>https://doi.org/10.23682/125592</w:t>
        </w:r>
      </w:hyperlink>
      <w:r w:rsidRPr="0051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Конституционное право России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«Юриспруденция» / В. О. Лучин, Б. С.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Эбзеев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Е. Н. Хазов [и др.] ; под редакцией В. О. Лучина [и др.]. — 10-е изд. — Москва : ЮНИТИ-ДАНА, 2019. — 687 c. — ISBN 978-5-238- 03214-6.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https://www.iprbookshop.ru/101912.html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А. М. Конституционное право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специальности «Юриспруденция» / А. М.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Е. И. Бычкова.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ЮНИТИ-ДАНА, 2017. — 431 c. — ISBN 978-5-238-02594-0.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https://www.iprbookshop.ru/72422.html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Иналкаева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К. С. Конституционное право как ведущая отрасль российского права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/ К. С.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Иналкаева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Пи Ар Медиа, 2021. — 328 c. — ISBN 978-5-4497-1334-6.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https://www.iprbookshop.ru/110118.html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Овсепян, Ж. И. Конституционное право России. В 2 томах. Т.1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/ Ж. И. Овсепян. — Ростов-на-Дону, Таганрог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Издательство Южного федерального университета, 2019. — 878 c. — ISBN 978-5-9275-2752-6 (т.1), 978-5-9275-2751-9.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https://www.iprbookshop.ru/127087.html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Овсепян, Ж. И. Конституционное право России. В 2 томах. Т.2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учебник / Ж. И. Овсепян. — Ростов-на-Дону, Таганрог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Издательство Южного федерального университета, 2020. — 1016 c. — ISBN 978-5-9275-2753-3 (т.2), 978-5-9275-2751-9.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https://www.iprbookshop.ru/127088.html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Курс по конституционному праву России /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Норматика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2017. — 186 c. — ISBN 978-5-4374-0876-6.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https://www.iprbookshop.ru/65188.html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Конституционное право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О. Х.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Аманкаева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М. А. Белова, Е. И. Волкова [и др.].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Российский государственный университет правосудия, 2021. — 535 c. — ISBN 978-5-93916-928-8.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https://www.iprbookshop.ru/126118.html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Конституционное (государственное) право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/ М. А.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Бучакова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, Ю. В. Герасименко, А. В.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 [и др.] ; под редакцией М. А.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Бучаковой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Омск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Омская академия МВД России, 2021. — 248 c. — ISBN 978-5-88651-782-8.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57 Цифровой образовательный ресурс IPR SMART : [сайт]. — URL: </w:t>
      </w:r>
      <w:r w:rsidRPr="00511FAD">
        <w:rPr>
          <w:rFonts w:ascii="Times New Roman" w:hAnsi="Times New Roman" w:cs="Times New Roman"/>
          <w:sz w:val="24"/>
          <w:szCs w:val="24"/>
        </w:rPr>
        <w:lastRenderedPageBreak/>
        <w:t xml:space="preserve">https://www.iprbookshop.ru/127415.html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Сичкар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В. А. Конституционное право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для обучающихся 2 курса образовательной программы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 направления подготовки 40.03.01 «Юриспруденция» / В. А.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Сичкар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Ворушило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Матюшайтись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2-е изд. — Донецк : Донецкая академия управления и государственной службы, 2020. — 406 c.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https://www.iprbookshop.ru/123477.html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Перов, А. Н. Конституционное право России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/ А. Н. Перов. — Астрахань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Астраханский государственный университет, Издательский дом «Астраханский университет», 2019. — 118 c. — ISBN 978-5-9926-1103-8.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https://www.iprbookshop.ru/99500.html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Никулин, В. В. Конституционное право России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/ В. В. Никулин, А. В.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Тамбов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Тамбовский государственный технический университет, ЭБС АСВ, 2019. — 80 c. — ISBN 978-5-8265-2113-7.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https://www.iprbookshop.ru/99763.html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Ю. В. Конституционное право Российской Федерации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/ Ю. В.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Барнаул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Изд-во «Петров», 2019. — 144 c. — ISBN 978-5-6043739-0-3.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https://www.iprbookshop.ru/102834.html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AD">
        <w:rPr>
          <w:rFonts w:ascii="Times New Roman" w:hAnsi="Times New Roman" w:cs="Times New Roman"/>
          <w:sz w:val="24"/>
          <w:szCs w:val="24"/>
        </w:rPr>
        <w:t>Конституционное право. Общая часть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к лекциям и семинарам (программа дисциплины, тезисы лекций, практикум) / Н. А. Богданова, И. П.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Кененова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А. А. Троицкая, Д. Г. Шустров ; под редакцией Н. А. Богданова.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Зерцало-М, 2018. — 372 c. — ISBN 978-5-94373-431-1.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https://www.iprbookshop.ru/78883.html 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. пользователей </w:t>
      </w:r>
    </w:p>
    <w:p w:rsidR="00CE3582" w:rsidRPr="00511FAD" w:rsidRDefault="00CE3582" w:rsidP="00CE358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, А. М. Конституционное право России. Схемы и определения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обучающихся по специальности «Юриспруденция» / А. М.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, Е. И. Бычкова, Е. А.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 xml:space="preserve"> ; под редакцией А. И.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ЮНИТИ-ДАНА, 2017. — 208 c. — ISBN 978-5-238-02748-7. — Текст</w:t>
      </w:r>
      <w:proofErr w:type="gramStart"/>
      <w:r w:rsidRPr="00511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FAD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https://www.iprbookshop.ru/72442.html— Режим доступа: для </w:t>
      </w:r>
      <w:proofErr w:type="spellStart"/>
      <w:r w:rsidRPr="00511FA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511FAD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www.kremlin.ru</w:t>
        </w:r>
      </w:hyperlink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http://www.kremlin.ru/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un.org. 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www.duma.ru</w:t>
        </w:r>
      </w:hyperlink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http://www.duma.ru/</w:t>
        </w:r>
      </w:hyperlink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www.government.ru</w:t>
        </w:r>
      </w:hyperlink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http://www.government.ru/</w:t>
        </w:r>
      </w:hyperlink>
      <w:r>
        <w:rPr>
          <w:rFonts w:ascii="Times New Roman" w:hAnsi="Times New Roman" w:cs="Times New Roman"/>
          <w:sz w:val="24"/>
          <w:szCs w:val="24"/>
        </w:rPr>
        <w:t>www.council.gov.ru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unrussia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1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http://www.unrussia.ru/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:\\</w:t>
      </w:r>
      <w:r>
        <w:rPr>
          <w:rFonts w:ascii="Times New Roman" w:hAnsi="Times New Roman" w:cs="Times New Roman"/>
          <w:sz w:val="24"/>
          <w:szCs w:val="24"/>
          <w:lang w:val="en-US"/>
        </w:rPr>
        <w:t>eulaw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www.europa.eu.int</w:t>
        </w:r>
      </w:hyperlink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http://www.europa.eu.int/</w:t>
        </w:r>
      </w:hyperlink>
      <w:hyperlink r:id="rId17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www.europarl.eu.int</w:t>
        </w:r>
      </w:hyperlink>
      <w:hyperlink r:id="rId1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http://www.europarl.eu.int/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curia.eu.int\en cis.minsk.by </w:t>
      </w:r>
    </w:p>
    <w:p w:rsidR="00CE3582" w:rsidRDefault="00CE3582" w:rsidP="00CE3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www.mid.ru</w:t>
        </w:r>
      </w:hyperlink>
      <w:hyperlink r:id="rId2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http://www.mid.ru/</w:t>
        </w:r>
      </w:hyperlink>
      <w:hyperlink r:id="rId21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www.icrc.org</w:t>
        </w:r>
      </w:hyperlink>
      <w:hyperlink r:id="rId22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http://www.icrc.org/</w:t>
        </w:r>
      </w:hyperlink>
    </w:p>
    <w:p w:rsidR="00CE3582" w:rsidRDefault="00CE3582" w:rsidP="00CE3582">
      <w:pPr>
        <w:rPr>
          <w:lang w:val="en-US"/>
        </w:rPr>
      </w:pPr>
    </w:p>
    <w:p w:rsidR="00CE3582" w:rsidRPr="00443DC6" w:rsidRDefault="00CE3582" w:rsidP="00CE3582">
      <w:pPr>
        <w:rPr>
          <w:lang w:val="en-US"/>
        </w:rPr>
      </w:pPr>
    </w:p>
    <w:p w:rsidR="002D39AD" w:rsidRPr="002D39AD" w:rsidRDefault="002D39AD" w:rsidP="00CE358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lang w:val="en-US"/>
        </w:rPr>
      </w:pPr>
    </w:p>
    <w:sectPr w:rsidR="002D39AD" w:rsidRPr="002D39AD" w:rsidSect="00A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6F0"/>
    <w:multiLevelType w:val="hybridMultilevel"/>
    <w:tmpl w:val="E1FE6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F4B22"/>
    <w:multiLevelType w:val="hybridMultilevel"/>
    <w:tmpl w:val="35EAB8AC"/>
    <w:lvl w:ilvl="0" w:tplc="29E48B8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58F8908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EEA0305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5E4E2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15D8526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8D7C4A1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5B87EC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7D243C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AAEA7C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">
    <w:nsid w:val="771B11EA"/>
    <w:multiLevelType w:val="hybridMultilevel"/>
    <w:tmpl w:val="CF0450B2"/>
    <w:lvl w:ilvl="0" w:tplc="0419000F">
      <w:start w:val="1"/>
      <w:numFmt w:val="decimal"/>
      <w:lvlText w:val="%1."/>
      <w:lvlJc w:val="left"/>
      <w:pPr>
        <w:ind w:left="77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9AD"/>
    <w:rsid w:val="00001C4B"/>
    <w:rsid w:val="00143E1F"/>
    <w:rsid w:val="00153F1A"/>
    <w:rsid w:val="00251E98"/>
    <w:rsid w:val="002D39AD"/>
    <w:rsid w:val="005A41C1"/>
    <w:rsid w:val="00716F53"/>
    <w:rsid w:val="00731960"/>
    <w:rsid w:val="0076376F"/>
    <w:rsid w:val="00884200"/>
    <w:rsid w:val="008E2CF1"/>
    <w:rsid w:val="00A035F4"/>
    <w:rsid w:val="00CE3582"/>
    <w:rsid w:val="00D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9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39A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2D39AD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5A41C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5A41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unrussia.ru/" TargetMode="External"/><Relationship Id="rId18" Type="http://schemas.openxmlformats.org/officeDocument/2006/relationships/hyperlink" Target="http://www.europarl.eu.i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crc.org/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government.ru/" TargetMode="External"/><Relationship Id="rId17" Type="http://schemas.openxmlformats.org/officeDocument/2006/relationships/hyperlink" Target="http://www.europarl.eu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.eu.int/" TargetMode="External"/><Relationship Id="rId20" Type="http://schemas.openxmlformats.org/officeDocument/2006/relationships/hyperlink" Target="http://www.mi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3682/125592" TargetMode="External"/><Relationship Id="rId11" Type="http://schemas.openxmlformats.org/officeDocument/2006/relationships/hyperlink" Target="http://www.governme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ropa.eu.i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uma.ru/" TargetMode="External"/><Relationship Id="rId19" Type="http://schemas.openxmlformats.org/officeDocument/2006/relationships/hyperlink" Target="http://www.mi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ru/" TargetMode="External"/><Relationship Id="rId14" Type="http://schemas.openxmlformats.org/officeDocument/2006/relationships/hyperlink" Target="http://www.unrussia.ru/" TargetMode="External"/><Relationship Id="rId22" Type="http://schemas.openxmlformats.org/officeDocument/2006/relationships/hyperlink" Target="http://www.icr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Rafael.Klychev</dc:creator>
  <cp:keywords/>
  <dc:description/>
  <cp:lastModifiedBy>Клычев Рафаэль Арзабекович</cp:lastModifiedBy>
  <cp:revision>12</cp:revision>
  <dcterms:created xsi:type="dcterms:W3CDTF">2019-10-15T11:35:00Z</dcterms:created>
  <dcterms:modified xsi:type="dcterms:W3CDTF">2023-09-22T14:33:00Z</dcterms:modified>
</cp:coreProperties>
</file>