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AD" w:rsidRPr="00850628" w:rsidRDefault="003E3DAD" w:rsidP="003E3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rFonts w:eastAsia="Times New Roman"/>
          <w:caps/>
          <w:szCs w:val="24"/>
          <w:lang w:eastAsia="ru-RU"/>
        </w:rPr>
      </w:pPr>
      <w:r w:rsidRPr="00850628">
        <w:rPr>
          <w:rFonts w:eastAsia="Times New Roman"/>
          <w:szCs w:val="24"/>
          <w:lang w:eastAsia="ru-RU"/>
        </w:rPr>
        <w:t xml:space="preserve">Министерство науки и </w:t>
      </w:r>
      <w:r w:rsidR="003B2584">
        <w:rPr>
          <w:rFonts w:eastAsia="Times New Roman"/>
          <w:szCs w:val="24"/>
          <w:lang w:eastAsia="ru-RU"/>
        </w:rPr>
        <w:t>высшего образования Российской Ф</w:t>
      </w:r>
      <w:r w:rsidRPr="00850628">
        <w:rPr>
          <w:rFonts w:eastAsia="Times New Roman"/>
          <w:szCs w:val="24"/>
          <w:lang w:eastAsia="ru-RU"/>
        </w:rPr>
        <w:t>едерации</w:t>
      </w:r>
    </w:p>
    <w:p w:rsidR="003E3DAD" w:rsidRPr="00850628" w:rsidRDefault="003E3DAD" w:rsidP="003E3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rFonts w:eastAsia="Times New Roman"/>
          <w:caps/>
          <w:szCs w:val="24"/>
          <w:lang w:eastAsia="ru-RU"/>
        </w:rPr>
      </w:pPr>
      <w:r w:rsidRPr="00850628">
        <w:rPr>
          <w:rFonts w:eastAsia="Times New Roman"/>
          <w:szCs w:val="24"/>
          <w:lang w:eastAsia="ru-RU"/>
        </w:rPr>
        <w:t xml:space="preserve">Федеральное государственное </w:t>
      </w:r>
      <w:r w:rsidR="00EF6AFB">
        <w:rPr>
          <w:rFonts w:eastAsia="Times New Roman"/>
          <w:szCs w:val="24"/>
          <w:lang w:eastAsia="ru-RU"/>
        </w:rPr>
        <w:t xml:space="preserve">автономное </w:t>
      </w:r>
      <w:r w:rsidRPr="00850628">
        <w:rPr>
          <w:rFonts w:eastAsia="Times New Roman"/>
          <w:szCs w:val="24"/>
          <w:lang w:eastAsia="ru-RU"/>
        </w:rPr>
        <w:t xml:space="preserve">образовательное учреждение </w:t>
      </w:r>
      <w:r w:rsidRPr="00850628">
        <w:rPr>
          <w:rFonts w:eastAsia="Times New Roman"/>
          <w:szCs w:val="24"/>
          <w:lang w:eastAsia="ru-RU"/>
        </w:rPr>
        <w:br/>
        <w:t>высшего образования</w:t>
      </w:r>
    </w:p>
    <w:p w:rsidR="00FA2F69" w:rsidRDefault="002360CC" w:rsidP="003E3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color w:val="000000" w:themeColor="text1"/>
          <w:szCs w:val="24"/>
        </w:rPr>
      </w:pPr>
      <w:r w:rsidRPr="00850628">
        <w:rPr>
          <w:rFonts w:eastAsia="Times New Roman"/>
          <w:caps/>
          <w:szCs w:val="24"/>
          <w:lang w:eastAsia="ru-RU"/>
        </w:rPr>
        <w:t>ФГ</w:t>
      </w:r>
      <w:r>
        <w:rPr>
          <w:rFonts w:eastAsia="Times New Roman"/>
          <w:caps/>
          <w:szCs w:val="24"/>
          <w:lang w:eastAsia="ru-RU"/>
        </w:rPr>
        <w:t>А</w:t>
      </w:r>
      <w:r w:rsidRPr="00850628">
        <w:rPr>
          <w:rFonts w:eastAsia="Times New Roman"/>
          <w:caps/>
          <w:szCs w:val="24"/>
          <w:lang w:eastAsia="ru-RU"/>
        </w:rPr>
        <w:t xml:space="preserve">ОУ </w:t>
      </w:r>
      <w:proofErr w:type="gramStart"/>
      <w:r w:rsidRPr="00850628">
        <w:rPr>
          <w:rFonts w:eastAsia="Times New Roman"/>
          <w:caps/>
          <w:szCs w:val="24"/>
          <w:lang w:eastAsia="ru-RU"/>
        </w:rPr>
        <w:t>ВО</w:t>
      </w:r>
      <w:proofErr w:type="gramEnd"/>
      <w:r w:rsidRPr="00850628">
        <w:rPr>
          <w:rFonts w:eastAsia="Times New Roman"/>
          <w:caps/>
          <w:szCs w:val="24"/>
          <w:lang w:eastAsia="ru-RU"/>
        </w:rPr>
        <w:t xml:space="preserve"> </w:t>
      </w:r>
      <w:r w:rsidR="003E3DAD" w:rsidRPr="00850628">
        <w:rPr>
          <w:rFonts w:eastAsia="Times New Roman"/>
          <w:szCs w:val="24"/>
          <w:lang w:eastAsia="ru-RU"/>
        </w:rPr>
        <w:t>«</w:t>
      </w:r>
      <w:r w:rsidR="00EF6AFB" w:rsidRPr="00D738C0">
        <w:rPr>
          <w:color w:val="000000" w:themeColor="text1"/>
          <w:szCs w:val="24"/>
        </w:rPr>
        <w:t xml:space="preserve">Московский физико-технический институт </w:t>
      </w:r>
    </w:p>
    <w:p w:rsidR="003E3DAD" w:rsidRPr="00850628" w:rsidRDefault="00EF6AFB" w:rsidP="003E3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rFonts w:eastAsia="Times New Roman"/>
          <w:caps/>
          <w:szCs w:val="24"/>
          <w:lang w:eastAsia="ru-RU"/>
        </w:rPr>
      </w:pPr>
      <w:r w:rsidRPr="00D738C0">
        <w:rPr>
          <w:color w:val="000000" w:themeColor="text1"/>
          <w:szCs w:val="24"/>
        </w:rPr>
        <w:t>(национальный исследовательский университет</w:t>
      </w:r>
      <w:r>
        <w:rPr>
          <w:color w:val="000000" w:themeColor="text1"/>
          <w:szCs w:val="24"/>
        </w:rPr>
        <w:t>)</w:t>
      </w:r>
      <w:r w:rsidR="003E3DAD" w:rsidRPr="00850628">
        <w:rPr>
          <w:rFonts w:eastAsia="Times New Roman"/>
          <w:szCs w:val="24"/>
          <w:lang w:eastAsia="ru-RU"/>
        </w:rPr>
        <w:t>»</w:t>
      </w:r>
    </w:p>
    <w:p w:rsidR="003E3DAD" w:rsidRPr="00850628" w:rsidRDefault="003E3DAD" w:rsidP="00236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rFonts w:eastAsia="Times New Roman"/>
          <w:caps/>
          <w:szCs w:val="24"/>
          <w:lang w:eastAsia="ru-RU"/>
        </w:rPr>
      </w:pPr>
    </w:p>
    <w:p w:rsidR="003E3DAD" w:rsidRPr="00850628" w:rsidRDefault="003E3DAD" w:rsidP="003E3DAD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647388" w:rsidP="00647388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szCs w:val="24"/>
          <w:lang w:eastAsia="ru-RU"/>
        </w:rPr>
      </w:pPr>
      <w:r w:rsidRPr="00752B71">
        <w:rPr>
          <w:b/>
          <w:noProof/>
          <w:color w:val="000000"/>
          <w:lang w:eastAsia="ru-RU"/>
        </w:rPr>
        <w:drawing>
          <wp:inline distT="0" distB="0" distL="0" distR="0" wp14:anchorId="07D52078" wp14:editId="164B628E">
            <wp:extent cx="1909445" cy="1909445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AD" w:rsidRPr="003E3DAD" w:rsidRDefault="003E3DAD" w:rsidP="003E3DAD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850628" w:rsidRDefault="003E3DAD" w:rsidP="003E3DAD">
      <w:pPr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rPr>
          <w:rFonts w:eastAsia="Times New Roman"/>
          <w:kern w:val="3"/>
          <w:sz w:val="32"/>
          <w:szCs w:val="32"/>
          <w:lang w:eastAsia="ru-RU"/>
        </w:rPr>
      </w:pPr>
      <w:r w:rsidRPr="00850628">
        <w:rPr>
          <w:rFonts w:eastAsia="Times New Roman"/>
          <w:b/>
          <w:kern w:val="3"/>
          <w:sz w:val="32"/>
          <w:szCs w:val="32"/>
          <w:lang w:eastAsia="ru-RU"/>
        </w:rPr>
        <w:t xml:space="preserve">Методические рекомендации по доработке Программы развития ФГБОУ </w:t>
      </w:r>
      <w:proofErr w:type="gramStart"/>
      <w:r w:rsidRPr="00850628">
        <w:rPr>
          <w:rFonts w:eastAsia="Times New Roman"/>
          <w:b/>
          <w:kern w:val="3"/>
          <w:sz w:val="32"/>
          <w:szCs w:val="32"/>
          <w:lang w:eastAsia="ru-RU"/>
        </w:rPr>
        <w:t>ВО</w:t>
      </w:r>
      <w:proofErr w:type="gramEnd"/>
      <w:r w:rsidRPr="00850628">
        <w:rPr>
          <w:rFonts w:eastAsia="Times New Roman"/>
          <w:b/>
          <w:kern w:val="3"/>
          <w:sz w:val="32"/>
          <w:szCs w:val="32"/>
          <w:lang w:eastAsia="ru-RU"/>
        </w:rPr>
        <w:t xml:space="preserve"> «</w:t>
      </w:r>
      <w:proofErr w:type="gramStart"/>
      <w:r w:rsidRPr="00850628">
        <w:rPr>
          <w:rFonts w:eastAsia="Times New Roman"/>
          <w:b/>
          <w:kern w:val="3"/>
          <w:sz w:val="32"/>
          <w:szCs w:val="32"/>
          <w:lang w:eastAsia="ru-RU"/>
        </w:rPr>
        <w:t>Северо-</w:t>
      </w:r>
      <w:r w:rsidR="007A76C5">
        <w:rPr>
          <w:rFonts w:eastAsia="Times New Roman"/>
          <w:b/>
          <w:kern w:val="3"/>
          <w:sz w:val="32"/>
          <w:szCs w:val="32"/>
          <w:lang w:eastAsia="ru-RU"/>
        </w:rPr>
        <w:t>Кавказская</w:t>
      </w:r>
      <w:proofErr w:type="gramEnd"/>
      <w:r w:rsidR="007A76C5">
        <w:rPr>
          <w:rFonts w:eastAsia="Times New Roman"/>
          <w:b/>
          <w:kern w:val="3"/>
          <w:sz w:val="32"/>
          <w:szCs w:val="32"/>
          <w:lang w:eastAsia="ru-RU"/>
        </w:rPr>
        <w:t xml:space="preserve"> государственная академия</w:t>
      </w:r>
      <w:r w:rsidRPr="00850628">
        <w:rPr>
          <w:rFonts w:eastAsia="Times New Roman"/>
          <w:b/>
          <w:kern w:val="3"/>
          <w:sz w:val="32"/>
          <w:szCs w:val="32"/>
          <w:lang w:eastAsia="ru-RU"/>
        </w:rPr>
        <w:t>» на 2020-2022 годы</w:t>
      </w:r>
    </w:p>
    <w:p w:rsidR="003E3DAD" w:rsidRPr="00850628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 w:val="32"/>
          <w:szCs w:val="32"/>
          <w:lang w:eastAsia="ru-RU"/>
        </w:rPr>
      </w:pPr>
    </w:p>
    <w:p w:rsidR="003E3DAD" w:rsidRPr="00850628" w:rsidRDefault="003E3DAD" w:rsidP="003E3DAD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sz w:val="32"/>
          <w:szCs w:val="32"/>
          <w:lang w:eastAsia="ru-RU"/>
        </w:rPr>
      </w:pPr>
    </w:p>
    <w:p w:rsid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 w:val="28"/>
          <w:szCs w:val="28"/>
          <w:lang w:eastAsia="ru-RU"/>
        </w:rPr>
      </w:pPr>
    </w:p>
    <w:p w:rsidR="00647388" w:rsidRPr="003E3DAD" w:rsidRDefault="00647388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Cs w:val="24"/>
          <w:lang w:eastAsia="ru-RU"/>
        </w:rPr>
      </w:pPr>
    </w:p>
    <w:p w:rsidR="003E3DAD" w:rsidRPr="003E3DAD" w:rsidRDefault="003E3DAD" w:rsidP="003E3DA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3E3DAD" w:rsidRPr="003E3DAD" w:rsidRDefault="003E3DAD" w:rsidP="003E3DAD">
      <w:pPr>
        <w:spacing w:after="0" w:line="240" w:lineRule="auto"/>
        <w:jc w:val="center"/>
        <w:rPr>
          <w:rFonts w:eastAsia="Times New Roman"/>
          <w:sz w:val="30"/>
          <w:szCs w:val="30"/>
          <w:lang w:eastAsia="ru-RU"/>
        </w:rPr>
      </w:pPr>
    </w:p>
    <w:p w:rsidR="003E3DAD" w:rsidRPr="003E3DAD" w:rsidRDefault="003E3DAD" w:rsidP="003E3DAD">
      <w:pPr>
        <w:spacing w:after="0" w:line="240" w:lineRule="auto"/>
        <w:jc w:val="center"/>
        <w:rPr>
          <w:rFonts w:eastAsia="Times New Roman"/>
          <w:sz w:val="30"/>
          <w:szCs w:val="30"/>
          <w:lang w:eastAsia="ru-RU"/>
        </w:rPr>
      </w:pPr>
    </w:p>
    <w:p w:rsidR="00A10256" w:rsidRPr="00850628" w:rsidRDefault="003E3DAD" w:rsidP="003E3DAD">
      <w:pPr>
        <w:spacing w:after="0" w:line="240" w:lineRule="auto"/>
        <w:jc w:val="center"/>
        <w:rPr>
          <w:color w:val="000000" w:themeColor="text1"/>
          <w:szCs w:val="24"/>
        </w:rPr>
      </w:pPr>
      <w:r w:rsidRPr="00850628">
        <w:rPr>
          <w:rFonts w:eastAsia="Times New Roman"/>
          <w:szCs w:val="24"/>
          <w:lang w:eastAsia="ru-RU"/>
        </w:rPr>
        <w:t>Москва 2020</w:t>
      </w:r>
      <w:r w:rsidR="00A10256" w:rsidRPr="00850628">
        <w:rPr>
          <w:color w:val="000000" w:themeColor="text1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92302590"/>
        <w:docPartObj>
          <w:docPartGallery w:val="Table of Contents"/>
          <w:docPartUnique/>
        </w:docPartObj>
      </w:sdtPr>
      <w:sdtEndPr/>
      <w:sdtContent>
        <w:p w:rsidR="00B756AA" w:rsidRPr="00B756AA" w:rsidRDefault="00B756AA" w:rsidP="00B756AA">
          <w:pPr>
            <w:pStyle w:val="aa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B756AA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B756AA" w:rsidRDefault="001B63B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 w:rsidR="00B756AA">
            <w:instrText xml:space="preserve"> TOC \o "1-3" \h \z \u </w:instrText>
          </w:r>
          <w:r>
            <w:fldChar w:fldCharType="separate"/>
          </w:r>
          <w:hyperlink w:anchor="_Toc49181853" w:history="1">
            <w:r w:rsidR="00B756AA" w:rsidRPr="00A31F05">
              <w:rPr>
                <w:rStyle w:val="a5"/>
                <w:b/>
                <w:noProof/>
              </w:rPr>
              <w:t>ВВОДНАЯ ЧАСТЬ</w:t>
            </w:r>
            <w:r w:rsidR="00B756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756AA">
              <w:rPr>
                <w:noProof/>
                <w:webHidden/>
              </w:rPr>
              <w:instrText xml:space="preserve"> PAGEREF _Toc49181853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7C9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56AA" w:rsidRDefault="00726B2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9181854" w:history="1">
            <w:r w:rsidR="00B756AA" w:rsidRPr="00A31F05">
              <w:rPr>
                <w:rStyle w:val="a5"/>
                <w:b/>
                <w:noProof/>
              </w:rPr>
              <w:t xml:space="preserve">1. АНАЛИЗ ВНЕШНИХ И ВНУТРЕННИХ ФАКТОРОВ, </w:t>
            </w:r>
            <w:r w:rsidR="002360CC">
              <w:rPr>
                <w:rStyle w:val="a5"/>
                <w:b/>
                <w:noProof/>
              </w:rPr>
              <w:t>О</w:t>
            </w:r>
            <w:r w:rsidR="00B756AA" w:rsidRPr="00A31F05">
              <w:rPr>
                <w:rStyle w:val="a5"/>
                <w:b/>
                <w:noProof/>
              </w:rPr>
              <w:t>БУСЛОВЛИВАЮЩИХ НЕОБХОДИМОСТЬ ДОРАБОТКИ ПРОГРАММЫ РАЗВИТИЯ</w:t>
            </w:r>
            <w:r w:rsidR="00B756AA">
              <w:rPr>
                <w:noProof/>
                <w:webHidden/>
              </w:rPr>
              <w:tab/>
            </w:r>
            <w:r w:rsidR="001B63B4">
              <w:rPr>
                <w:noProof/>
                <w:webHidden/>
              </w:rPr>
              <w:fldChar w:fldCharType="begin"/>
            </w:r>
            <w:r w:rsidR="00B756AA">
              <w:rPr>
                <w:noProof/>
                <w:webHidden/>
              </w:rPr>
              <w:instrText xml:space="preserve"> PAGEREF _Toc49181854 \h </w:instrText>
            </w:r>
            <w:r w:rsidR="001B63B4">
              <w:rPr>
                <w:noProof/>
                <w:webHidden/>
              </w:rPr>
            </w:r>
            <w:r w:rsidR="001B63B4">
              <w:rPr>
                <w:noProof/>
                <w:webHidden/>
              </w:rPr>
              <w:fldChar w:fldCharType="separate"/>
            </w:r>
            <w:r w:rsidR="007F7C9D">
              <w:rPr>
                <w:noProof/>
                <w:webHidden/>
              </w:rPr>
              <w:t>5</w:t>
            </w:r>
            <w:r w:rsidR="001B63B4">
              <w:rPr>
                <w:noProof/>
                <w:webHidden/>
              </w:rPr>
              <w:fldChar w:fldCharType="end"/>
            </w:r>
          </w:hyperlink>
        </w:p>
        <w:p w:rsidR="00B756AA" w:rsidRDefault="00726B2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9181855" w:history="1">
            <w:r w:rsidR="00B756AA" w:rsidRPr="00A31F05">
              <w:rPr>
                <w:rStyle w:val="a5"/>
                <w:b/>
                <w:noProof/>
              </w:rPr>
              <w:t>1.1. Внешние факторы, требующие учета в Программе развития</w:t>
            </w:r>
            <w:r w:rsidR="00B756AA">
              <w:rPr>
                <w:noProof/>
                <w:webHidden/>
              </w:rPr>
              <w:tab/>
            </w:r>
            <w:r w:rsidR="001B63B4">
              <w:rPr>
                <w:noProof/>
                <w:webHidden/>
              </w:rPr>
              <w:fldChar w:fldCharType="begin"/>
            </w:r>
            <w:r w:rsidR="00B756AA">
              <w:rPr>
                <w:noProof/>
                <w:webHidden/>
              </w:rPr>
              <w:instrText xml:space="preserve"> PAGEREF _Toc49181855 \h </w:instrText>
            </w:r>
            <w:r w:rsidR="001B63B4">
              <w:rPr>
                <w:noProof/>
                <w:webHidden/>
              </w:rPr>
            </w:r>
            <w:r w:rsidR="001B63B4">
              <w:rPr>
                <w:noProof/>
                <w:webHidden/>
              </w:rPr>
              <w:fldChar w:fldCharType="separate"/>
            </w:r>
            <w:r w:rsidR="007F7C9D">
              <w:rPr>
                <w:noProof/>
                <w:webHidden/>
              </w:rPr>
              <w:t>5</w:t>
            </w:r>
            <w:r w:rsidR="001B63B4">
              <w:rPr>
                <w:noProof/>
                <w:webHidden/>
              </w:rPr>
              <w:fldChar w:fldCharType="end"/>
            </w:r>
          </w:hyperlink>
        </w:p>
        <w:p w:rsidR="00B756AA" w:rsidRDefault="00726B2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9181856" w:history="1">
            <w:r w:rsidR="00B756AA" w:rsidRPr="00A31F05">
              <w:rPr>
                <w:rStyle w:val="a5"/>
                <w:b/>
                <w:noProof/>
              </w:rPr>
              <w:t>1.2. Внутренние факторы, требующие учета в Программе развития</w:t>
            </w:r>
            <w:r w:rsidR="00B756AA">
              <w:rPr>
                <w:noProof/>
                <w:webHidden/>
              </w:rPr>
              <w:tab/>
            </w:r>
            <w:r w:rsidR="005608AA">
              <w:rPr>
                <w:noProof/>
                <w:webHidden/>
              </w:rPr>
              <w:t>1</w:t>
            </w:r>
            <w:r w:rsidR="001B63B4">
              <w:rPr>
                <w:noProof/>
                <w:webHidden/>
              </w:rPr>
              <w:fldChar w:fldCharType="begin"/>
            </w:r>
            <w:r w:rsidR="00B756AA">
              <w:rPr>
                <w:noProof/>
                <w:webHidden/>
              </w:rPr>
              <w:instrText xml:space="preserve"> PAGEREF _Toc49181856 \h </w:instrText>
            </w:r>
            <w:r w:rsidR="001B63B4">
              <w:rPr>
                <w:noProof/>
                <w:webHidden/>
              </w:rPr>
            </w:r>
            <w:r w:rsidR="001B63B4">
              <w:rPr>
                <w:noProof/>
                <w:webHidden/>
              </w:rPr>
              <w:fldChar w:fldCharType="separate"/>
            </w:r>
            <w:r w:rsidR="007F7C9D">
              <w:rPr>
                <w:noProof/>
                <w:webHidden/>
              </w:rPr>
              <w:t>1</w:t>
            </w:r>
            <w:r w:rsidR="001B63B4">
              <w:rPr>
                <w:noProof/>
                <w:webHidden/>
              </w:rPr>
              <w:fldChar w:fldCharType="end"/>
            </w:r>
          </w:hyperlink>
        </w:p>
        <w:p w:rsidR="00B756AA" w:rsidRDefault="00726B2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9181857" w:history="1">
            <w:r w:rsidR="00B756AA" w:rsidRPr="00A31F05">
              <w:rPr>
                <w:rStyle w:val="a5"/>
                <w:b/>
                <w:noProof/>
              </w:rPr>
              <w:t>2. АНАЛИЗ ЗАМЕЧАНИЙ И РЕКОМЕНДАЦИЙ ПО ДОРАБОТКЕ ПРОГРАММЫ РАЗВИТИЯ, ПОСТУПИВШИХ В ХОДЕ СЕМИНАРА</w:t>
            </w:r>
            <w:r w:rsidR="00B756AA">
              <w:rPr>
                <w:noProof/>
                <w:webHidden/>
              </w:rPr>
              <w:tab/>
            </w:r>
            <w:r w:rsidR="001B63B4">
              <w:rPr>
                <w:noProof/>
                <w:webHidden/>
              </w:rPr>
              <w:fldChar w:fldCharType="begin"/>
            </w:r>
            <w:r w:rsidR="00B756AA">
              <w:rPr>
                <w:noProof/>
                <w:webHidden/>
              </w:rPr>
              <w:instrText xml:space="preserve"> PAGEREF _Toc49181857 \h </w:instrText>
            </w:r>
            <w:r w:rsidR="001B63B4">
              <w:rPr>
                <w:noProof/>
                <w:webHidden/>
              </w:rPr>
            </w:r>
            <w:r w:rsidR="001B63B4">
              <w:rPr>
                <w:noProof/>
                <w:webHidden/>
              </w:rPr>
              <w:fldChar w:fldCharType="separate"/>
            </w:r>
            <w:r w:rsidR="007F7C9D">
              <w:rPr>
                <w:noProof/>
                <w:webHidden/>
              </w:rPr>
              <w:t>13</w:t>
            </w:r>
            <w:r w:rsidR="001B63B4">
              <w:rPr>
                <w:noProof/>
                <w:webHidden/>
              </w:rPr>
              <w:fldChar w:fldCharType="end"/>
            </w:r>
          </w:hyperlink>
        </w:p>
        <w:p w:rsidR="00B756AA" w:rsidRDefault="00726B2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9181858" w:history="1">
            <w:r w:rsidR="00B756AA" w:rsidRPr="00A31F05">
              <w:rPr>
                <w:rStyle w:val="a5"/>
                <w:b/>
                <w:noProof/>
              </w:rPr>
              <w:t xml:space="preserve">3. ПРЕДЛОЖЕНИЯ ПО СТРУКТУРИРОВАНИЮ ПРОГРАММЫ РАЗВИТИЯ </w:t>
            </w:r>
            <w:r w:rsidR="00C52F78">
              <w:rPr>
                <w:rStyle w:val="a5"/>
                <w:b/>
                <w:noProof/>
              </w:rPr>
              <w:t>СКГА</w:t>
            </w:r>
            <w:r w:rsidR="00B756AA">
              <w:rPr>
                <w:noProof/>
                <w:webHidden/>
              </w:rPr>
              <w:tab/>
            </w:r>
            <w:r w:rsidR="007D4759">
              <w:rPr>
                <w:noProof/>
                <w:webHidden/>
              </w:rPr>
              <w:t>14</w:t>
            </w:r>
          </w:hyperlink>
        </w:p>
        <w:p w:rsidR="00B756AA" w:rsidRDefault="00726B2D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9181859" w:history="1">
            <w:r w:rsidR="00B756AA" w:rsidRPr="00A31F05">
              <w:rPr>
                <w:rStyle w:val="a5"/>
                <w:b/>
                <w:noProof/>
              </w:rPr>
              <w:t>4. АЛГОРИТМ ДОРАБОТКИ И УТВЕРЖДЕНИЯ ПРОГРАММЫ РАЗВИТИЯ</w:t>
            </w:r>
            <w:r w:rsidR="00B756AA">
              <w:rPr>
                <w:noProof/>
                <w:webHidden/>
              </w:rPr>
              <w:tab/>
            </w:r>
            <w:r w:rsidR="003A6B02">
              <w:rPr>
                <w:noProof/>
                <w:webHidden/>
              </w:rPr>
              <w:t>19</w:t>
            </w:r>
          </w:hyperlink>
        </w:p>
        <w:p w:rsidR="000123A8" w:rsidRPr="00826497" w:rsidRDefault="000123A8" w:rsidP="000123A8">
          <w:r>
            <w:rPr>
              <w:b/>
            </w:rPr>
            <w:t xml:space="preserve">5. </w:t>
          </w:r>
          <w:r w:rsidRPr="00826497">
            <w:rPr>
              <w:b/>
            </w:rPr>
            <w:t>ОЖИДАЕМЫЕ РЕЗУЛЬТАТЫ</w:t>
          </w:r>
          <w:r>
            <w:t>…..………………………………………………………20</w:t>
          </w:r>
        </w:p>
        <w:p w:rsidR="00B756AA" w:rsidRDefault="000123A8">
          <w:pPr>
            <w:pStyle w:val="12"/>
            <w:tabs>
              <w:tab w:val="right" w:leader="dot" w:pos="9345"/>
            </w:tabs>
            <w:rPr>
              <w:noProof/>
            </w:rPr>
          </w:pPr>
          <w:r w:rsidRPr="000123A8">
            <w:rPr>
              <w:b/>
            </w:rPr>
            <w:t>6</w:t>
          </w:r>
          <w:r w:rsidR="009E3C9B" w:rsidRPr="000123A8">
            <w:rPr>
              <w:rStyle w:val="a5"/>
              <w:b/>
              <w:noProof/>
              <w:color w:val="000000" w:themeColor="text1"/>
            </w:rPr>
            <w:t>.</w:t>
          </w:r>
          <w:r w:rsidR="009E3C9B" w:rsidRPr="009E3C9B">
            <w:rPr>
              <w:rStyle w:val="a5"/>
              <w:b/>
              <w:noProof/>
              <w:color w:val="000000" w:themeColor="text1"/>
            </w:rPr>
            <w:t xml:space="preserve"> </w:t>
          </w:r>
          <w:hyperlink w:anchor="_Toc49181860" w:history="1">
            <w:r w:rsidR="00B756AA" w:rsidRPr="00A31F05">
              <w:rPr>
                <w:rStyle w:val="a5"/>
                <w:b/>
                <w:noProof/>
              </w:rPr>
              <w:t>ЗАКЛЮЧЕНИЕ</w:t>
            </w:r>
            <w:r w:rsidR="00B756AA">
              <w:rPr>
                <w:noProof/>
                <w:webHidden/>
              </w:rPr>
              <w:tab/>
            </w:r>
            <w:r w:rsidR="001B63B4">
              <w:rPr>
                <w:noProof/>
                <w:webHidden/>
              </w:rPr>
              <w:fldChar w:fldCharType="begin"/>
            </w:r>
            <w:r w:rsidR="00B756AA">
              <w:rPr>
                <w:noProof/>
                <w:webHidden/>
              </w:rPr>
              <w:instrText xml:space="preserve"> PAGEREF _Toc49181860 \h </w:instrText>
            </w:r>
            <w:r w:rsidR="001B63B4">
              <w:rPr>
                <w:noProof/>
                <w:webHidden/>
              </w:rPr>
            </w:r>
            <w:r w:rsidR="001B63B4">
              <w:rPr>
                <w:noProof/>
                <w:webHidden/>
              </w:rPr>
              <w:fldChar w:fldCharType="separate"/>
            </w:r>
            <w:r w:rsidR="007F7C9D">
              <w:rPr>
                <w:noProof/>
                <w:webHidden/>
              </w:rPr>
              <w:t>21</w:t>
            </w:r>
            <w:r w:rsidR="001B63B4">
              <w:rPr>
                <w:noProof/>
                <w:webHidden/>
              </w:rPr>
              <w:fldChar w:fldCharType="end"/>
            </w:r>
          </w:hyperlink>
        </w:p>
        <w:p w:rsidR="00826497" w:rsidRPr="00826497" w:rsidRDefault="00826497" w:rsidP="00826497"/>
        <w:p w:rsidR="00B756AA" w:rsidRDefault="001B63B4">
          <w:r>
            <w:fldChar w:fldCharType="end"/>
          </w:r>
        </w:p>
      </w:sdtContent>
    </w:sdt>
    <w:p w:rsidR="00FD6B80" w:rsidRDefault="00FD6B80" w:rsidP="00FD6B80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</w:p>
    <w:p w:rsidR="00A54DF7" w:rsidRDefault="00A54DF7" w:rsidP="00DB3C8C">
      <w:pPr>
        <w:pStyle w:val="1"/>
        <w:pageBreakBefore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9181853"/>
      <w:r w:rsidRPr="00B756A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ВВОДНАЯ ЧАСТЬ</w:t>
      </w:r>
      <w:bookmarkEnd w:id="0"/>
    </w:p>
    <w:p w:rsidR="00DB3C8C" w:rsidRPr="00DB3C8C" w:rsidRDefault="00DB3C8C" w:rsidP="00DB3C8C"/>
    <w:p w:rsidR="00F1018B" w:rsidRPr="006B1FC7" w:rsidRDefault="00861910" w:rsidP="006B1FC7">
      <w:pPr>
        <w:tabs>
          <w:tab w:val="left" w:pos="3828"/>
          <w:tab w:val="left" w:pos="5812"/>
        </w:tabs>
        <w:spacing w:after="0" w:line="360" w:lineRule="auto"/>
        <w:ind w:firstLine="709"/>
        <w:jc w:val="both"/>
        <w:rPr>
          <w:color w:val="000000"/>
          <w:shd w:val="clear" w:color="auto" w:fill="FDFDFD"/>
        </w:rPr>
      </w:pPr>
      <w:proofErr w:type="gramStart"/>
      <w:r w:rsidRPr="00D738C0">
        <w:rPr>
          <w:color w:val="000000" w:themeColor="text1"/>
          <w:szCs w:val="24"/>
        </w:rPr>
        <w:t>Программа развития Федерального государственного бюджетного образовательного учреждения «</w:t>
      </w:r>
      <w:r w:rsidR="00C52F78">
        <w:rPr>
          <w:color w:val="000000" w:themeColor="text1"/>
          <w:szCs w:val="24"/>
        </w:rPr>
        <w:t>Северо-Кавказская государственная академия</w:t>
      </w:r>
      <w:r w:rsidRPr="00D738C0">
        <w:rPr>
          <w:color w:val="000000" w:themeColor="text1"/>
          <w:szCs w:val="24"/>
        </w:rPr>
        <w:t>» на 2020</w:t>
      </w:r>
      <w:r w:rsidR="00C52F78">
        <w:rPr>
          <w:color w:val="000000" w:themeColor="text1"/>
          <w:szCs w:val="24"/>
        </w:rPr>
        <w:t>-</w:t>
      </w:r>
      <w:r w:rsidRPr="00D738C0">
        <w:rPr>
          <w:color w:val="000000" w:themeColor="text1"/>
          <w:szCs w:val="24"/>
        </w:rPr>
        <w:t xml:space="preserve">2022 годы </w:t>
      </w:r>
      <w:r w:rsidR="00C52F78">
        <w:rPr>
          <w:color w:val="000000" w:themeColor="text1"/>
          <w:szCs w:val="24"/>
        </w:rPr>
        <w:t>(</w:t>
      </w:r>
      <w:r w:rsidR="00675D92" w:rsidRPr="00D738C0">
        <w:rPr>
          <w:color w:val="000000" w:themeColor="text1"/>
          <w:szCs w:val="24"/>
        </w:rPr>
        <w:t xml:space="preserve">далее </w:t>
      </w:r>
      <w:r w:rsidR="00C52F78">
        <w:rPr>
          <w:color w:val="000000" w:themeColor="text1"/>
          <w:szCs w:val="24"/>
        </w:rPr>
        <w:t xml:space="preserve">- </w:t>
      </w:r>
      <w:r w:rsidR="00675D92" w:rsidRPr="00D738C0">
        <w:rPr>
          <w:color w:val="000000" w:themeColor="text1"/>
          <w:szCs w:val="24"/>
        </w:rPr>
        <w:t>Программа развития</w:t>
      </w:r>
      <w:r w:rsidR="0057589D">
        <w:rPr>
          <w:color w:val="000000" w:themeColor="text1"/>
          <w:szCs w:val="24"/>
        </w:rPr>
        <w:t xml:space="preserve">, </w:t>
      </w:r>
      <w:r w:rsidR="00C52F78">
        <w:rPr>
          <w:color w:val="000000" w:themeColor="text1"/>
          <w:szCs w:val="24"/>
        </w:rPr>
        <w:t>СКГА</w:t>
      </w:r>
      <w:r w:rsidR="00675D92" w:rsidRPr="00D738C0">
        <w:rPr>
          <w:color w:val="000000" w:themeColor="text1"/>
          <w:szCs w:val="24"/>
        </w:rPr>
        <w:t xml:space="preserve">) </w:t>
      </w:r>
      <w:r w:rsidRPr="00D738C0">
        <w:rPr>
          <w:color w:val="000000" w:themeColor="text1"/>
          <w:szCs w:val="24"/>
        </w:rPr>
        <w:t xml:space="preserve">разработана </w:t>
      </w:r>
      <w:r w:rsidR="00E73E0C">
        <w:rPr>
          <w:color w:val="000000" w:themeColor="text1"/>
          <w:szCs w:val="24"/>
        </w:rPr>
        <w:t>в октябре-</w:t>
      </w:r>
      <w:r w:rsidR="00351D75" w:rsidRPr="00D738C0">
        <w:rPr>
          <w:color w:val="000000" w:themeColor="text1"/>
          <w:szCs w:val="24"/>
        </w:rPr>
        <w:t xml:space="preserve">декабре 2019 года </w:t>
      </w:r>
      <w:r w:rsidRPr="00D738C0">
        <w:rPr>
          <w:color w:val="000000" w:themeColor="text1"/>
          <w:szCs w:val="24"/>
        </w:rPr>
        <w:t>Федеральным государственным автономным образовательным учреждением «Московский физико-технический институт (национальный исследовательский университет)» и</w:t>
      </w:r>
      <w:r w:rsidR="00272976">
        <w:rPr>
          <w:color w:val="000000" w:themeColor="text1"/>
          <w:szCs w:val="24"/>
        </w:rPr>
        <w:t xml:space="preserve"> </w:t>
      </w:r>
      <w:r w:rsidR="00C52F78">
        <w:rPr>
          <w:color w:val="000000" w:themeColor="text1"/>
          <w:szCs w:val="24"/>
        </w:rPr>
        <w:t>СКГА</w:t>
      </w:r>
      <w:r w:rsidR="00272976">
        <w:rPr>
          <w:color w:val="000000" w:themeColor="text1"/>
          <w:szCs w:val="24"/>
        </w:rPr>
        <w:t xml:space="preserve"> </w:t>
      </w:r>
      <w:r w:rsidRPr="00D738C0">
        <w:rPr>
          <w:color w:val="000000" w:themeColor="text1"/>
          <w:szCs w:val="24"/>
        </w:rPr>
        <w:t xml:space="preserve">в рамках </w:t>
      </w:r>
      <w:r w:rsidR="00351D75" w:rsidRPr="00D738C0">
        <w:rPr>
          <w:color w:val="000000" w:themeColor="text1"/>
          <w:szCs w:val="24"/>
        </w:rPr>
        <w:t xml:space="preserve">Государственного контракта </w:t>
      </w:r>
      <w:r w:rsidR="00C52F78">
        <w:rPr>
          <w:color w:val="000000" w:themeColor="text1"/>
          <w:szCs w:val="24"/>
        </w:rPr>
        <w:t>№ 02.244.11.0025</w:t>
      </w:r>
      <w:r w:rsidR="00A83CDC">
        <w:rPr>
          <w:color w:val="000000" w:themeColor="text1"/>
          <w:szCs w:val="24"/>
        </w:rPr>
        <w:t xml:space="preserve"> от 14.11.2019</w:t>
      </w:r>
      <w:r w:rsidR="00351D75" w:rsidRPr="00D738C0">
        <w:rPr>
          <w:color w:val="000000" w:themeColor="text1"/>
          <w:szCs w:val="24"/>
        </w:rPr>
        <w:t xml:space="preserve">, заключенного </w:t>
      </w:r>
      <w:r w:rsidR="00351D75" w:rsidRPr="005C0537">
        <w:rPr>
          <w:color w:val="000000" w:themeColor="text1"/>
          <w:szCs w:val="24"/>
        </w:rPr>
        <w:t xml:space="preserve">по результатам </w:t>
      </w:r>
      <w:r w:rsidR="00F83515" w:rsidRPr="005C0537">
        <w:rPr>
          <w:color w:val="000000" w:themeColor="text1"/>
          <w:szCs w:val="24"/>
        </w:rPr>
        <w:t>открытого конку</w:t>
      </w:r>
      <w:r w:rsidR="00F83515" w:rsidRPr="008E5087">
        <w:rPr>
          <w:color w:val="000000" w:themeColor="text1"/>
          <w:szCs w:val="24"/>
        </w:rPr>
        <w:t>рса,</w:t>
      </w:r>
      <w:r w:rsidR="00141E3B">
        <w:rPr>
          <w:color w:val="000000" w:themeColor="text1"/>
          <w:szCs w:val="24"/>
        </w:rPr>
        <w:t xml:space="preserve"> проводимого</w:t>
      </w:r>
      <w:r w:rsidR="00F83515" w:rsidRPr="008E5087">
        <w:rPr>
          <w:color w:val="000000" w:themeColor="text1"/>
          <w:szCs w:val="24"/>
        </w:rPr>
        <w:t xml:space="preserve"> </w:t>
      </w:r>
      <w:r w:rsidR="008E5087" w:rsidRPr="008E5087">
        <w:rPr>
          <w:color w:val="000000" w:themeColor="text1"/>
          <w:szCs w:val="24"/>
        </w:rPr>
        <w:t xml:space="preserve">в электронной форме, извещение № </w:t>
      </w:r>
      <w:r w:rsidR="00693274">
        <w:rPr>
          <w:color w:val="000000"/>
          <w:shd w:val="clear" w:color="auto" w:fill="FDFDFD"/>
        </w:rPr>
        <w:t>0195400</w:t>
      </w:r>
      <w:r w:rsidR="00693274" w:rsidRPr="00693274">
        <w:rPr>
          <w:color w:val="000000"/>
          <w:shd w:val="clear" w:color="auto" w:fill="FDFDFD"/>
        </w:rPr>
        <w:t>000319000</w:t>
      </w:r>
      <w:r w:rsidR="00693274">
        <w:rPr>
          <w:color w:val="000000"/>
          <w:shd w:val="clear" w:color="auto" w:fill="FDFDFD"/>
        </w:rPr>
        <w:t>134</w:t>
      </w:r>
      <w:r w:rsidR="008E5087" w:rsidRPr="008E5087">
        <w:rPr>
          <w:color w:val="000000" w:themeColor="text1"/>
          <w:szCs w:val="24"/>
        </w:rPr>
        <w:t>  по теме «Внедрение в образовательных организациях высшего</w:t>
      </w:r>
      <w:proofErr w:type="gramEnd"/>
      <w:r w:rsidR="008E5087" w:rsidRPr="008E5087">
        <w:rPr>
          <w:color w:val="000000" w:themeColor="text1"/>
          <w:szCs w:val="24"/>
        </w:rPr>
        <w:t xml:space="preserve"> </w:t>
      </w:r>
      <w:proofErr w:type="gramStart"/>
      <w:r w:rsidR="008E5087" w:rsidRPr="008E5087">
        <w:rPr>
          <w:color w:val="000000" w:themeColor="text1"/>
          <w:szCs w:val="24"/>
        </w:rPr>
        <w:t xml:space="preserve">образования </w:t>
      </w:r>
      <w:r w:rsidR="00A01B35">
        <w:rPr>
          <w:color w:val="000000" w:themeColor="text1"/>
          <w:szCs w:val="24"/>
        </w:rPr>
        <w:t>Карачаево-Черкесской Республики и Республики Северная Осетия-Алания</w:t>
      </w:r>
      <w:r w:rsidR="008E5087" w:rsidRPr="008E5087">
        <w:rPr>
          <w:color w:val="000000" w:themeColor="text1"/>
          <w:szCs w:val="24"/>
        </w:rPr>
        <w:t xml:space="preserve">, подведомственных Министерству науки и высшего образования Российской Федерации, невыполняющих показатели мониторинга эффективности деятельности образовательных организаций высшего образования, эффективных моделей управления, разработанных совместно с университетами-лидерами, формирующими научно-образовательную повестку Российской Федерации, в соответствии с запросами </w:t>
      </w:r>
      <w:r w:rsidR="00A01B35">
        <w:rPr>
          <w:color w:val="000000" w:themeColor="text1"/>
          <w:szCs w:val="24"/>
        </w:rPr>
        <w:t>Карачаево-Черкесской Республики и Республики Северная Осетия-Алания</w:t>
      </w:r>
      <w:r w:rsidR="008E5087" w:rsidRPr="008E5087">
        <w:rPr>
          <w:color w:val="000000" w:themeColor="text1"/>
          <w:szCs w:val="24"/>
        </w:rPr>
        <w:t xml:space="preserve"> и научно-технологическими вызовами», в рамках</w:t>
      </w:r>
      <w:r w:rsidR="00E71DC4">
        <w:rPr>
          <w:color w:val="000000" w:themeColor="text1"/>
          <w:szCs w:val="24"/>
        </w:rPr>
        <w:t xml:space="preserve"> </w:t>
      </w:r>
      <w:r w:rsidR="008E5087" w:rsidRPr="008E5087">
        <w:rPr>
          <w:color w:val="000000" w:themeColor="text1"/>
          <w:szCs w:val="24"/>
        </w:rPr>
        <w:t>реализации федерального проекта «Молодые профессионалы» национального проекта</w:t>
      </w:r>
      <w:r w:rsidR="006607CF">
        <w:rPr>
          <w:color w:val="000000" w:themeColor="text1"/>
          <w:szCs w:val="24"/>
        </w:rPr>
        <w:t xml:space="preserve"> «Образование»», </w:t>
      </w:r>
      <w:r w:rsidR="00E51ADC">
        <w:rPr>
          <w:color w:val="000000" w:themeColor="text1"/>
          <w:szCs w:val="24"/>
        </w:rPr>
        <w:t>(идентификационный</w:t>
      </w:r>
      <w:proofErr w:type="gramEnd"/>
      <w:r w:rsidR="00E51ADC">
        <w:rPr>
          <w:color w:val="000000" w:themeColor="text1"/>
          <w:szCs w:val="24"/>
        </w:rPr>
        <w:t xml:space="preserve"> код </w:t>
      </w:r>
      <w:r w:rsidR="008E5087" w:rsidRPr="00141E3B">
        <w:rPr>
          <w:color w:val="000000" w:themeColor="text1"/>
          <w:szCs w:val="24"/>
        </w:rPr>
        <w:t>закупки: </w:t>
      </w:r>
      <w:r w:rsidR="00F933A3">
        <w:rPr>
          <w:color w:val="000000"/>
          <w:shd w:val="clear" w:color="auto" w:fill="FDFDFD"/>
        </w:rPr>
        <w:t>191971006293977100100100370038411244)</w:t>
      </w:r>
      <w:bookmarkStart w:id="1" w:name="_GoBack"/>
      <w:bookmarkEnd w:id="1"/>
      <w:r w:rsidR="00F933A3">
        <w:rPr>
          <w:color w:val="000000"/>
          <w:shd w:val="clear" w:color="auto" w:fill="FDFDFD"/>
        </w:rPr>
        <w:t xml:space="preserve">.  </w:t>
      </w:r>
    </w:p>
    <w:p w:rsidR="002B25E3" w:rsidRDefault="00351D75" w:rsidP="00A7327B">
      <w:pPr>
        <w:spacing w:after="0" w:line="360" w:lineRule="auto"/>
        <w:ind w:firstLine="709"/>
        <w:jc w:val="both"/>
        <w:rPr>
          <w:color w:val="000000" w:themeColor="text1"/>
          <w:szCs w:val="24"/>
        </w:rPr>
      </w:pPr>
      <w:r w:rsidRPr="00D738C0">
        <w:rPr>
          <w:color w:val="000000" w:themeColor="text1"/>
          <w:szCs w:val="24"/>
        </w:rPr>
        <w:t xml:space="preserve">При разработке Программы </w:t>
      </w:r>
      <w:r w:rsidR="00675D92" w:rsidRPr="00D738C0">
        <w:rPr>
          <w:color w:val="000000" w:themeColor="text1"/>
          <w:szCs w:val="24"/>
        </w:rPr>
        <w:t xml:space="preserve">развития </w:t>
      </w:r>
      <w:r w:rsidRPr="00D738C0">
        <w:rPr>
          <w:color w:val="000000" w:themeColor="text1"/>
          <w:szCs w:val="24"/>
        </w:rPr>
        <w:t>авторский коллектив из числа представителей названных выше образовательных организаций исходил из результатов мониторинга эффективности деятельности образовательных организаций</w:t>
      </w:r>
      <w:r w:rsidR="0096043E" w:rsidRPr="00D738C0">
        <w:rPr>
          <w:color w:val="000000" w:themeColor="text1"/>
          <w:szCs w:val="24"/>
        </w:rPr>
        <w:t xml:space="preserve"> </w:t>
      </w:r>
      <w:r w:rsidRPr="00D738C0">
        <w:rPr>
          <w:color w:val="000000" w:themeColor="text1"/>
          <w:szCs w:val="24"/>
        </w:rPr>
        <w:t>в 2018 году</w:t>
      </w:r>
      <w:r w:rsidR="0096043E" w:rsidRPr="00D738C0">
        <w:rPr>
          <w:color w:val="000000" w:themeColor="text1"/>
          <w:szCs w:val="24"/>
        </w:rPr>
        <w:t xml:space="preserve">. </w:t>
      </w:r>
    </w:p>
    <w:p w:rsidR="009B3F1E" w:rsidRPr="00D738C0" w:rsidRDefault="002B25E3" w:rsidP="00A7327B">
      <w:pPr>
        <w:spacing w:after="0" w:line="36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Б</w:t>
      </w:r>
      <w:r w:rsidR="0096043E" w:rsidRPr="00D738C0">
        <w:rPr>
          <w:color w:val="000000" w:themeColor="text1"/>
          <w:szCs w:val="24"/>
        </w:rPr>
        <w:t xml:space="preserve">азой для планирования развития вуза на три года </w:t>
      </w:r>
      <w:r>
        <w:rPr>
          <w:color w:val="000000" w:themeColor="text1"/>
          <w:szCs w:val="24"/>
        </w:rPr>
        <w:t xml:space="preserve">стали показатели эффективности </w:t>
      </w:r>
      <w:r w:rsidR="00C52F78">
        <w:rPr>
          <w:color w:val="000000" w:themeColor="text1"/>
          <w:szCs w:val="24"/>
        </w:rPr>
        <w:t>СКГА</w:t>
      </w:r>
      <w:r>
        <w:rPr>
          <w:color w:val="000000" w:themeColor="text1"/>
          <w:szCs w:val="24"/>
        </w:rPr>
        <w:t xml:space="preserve"> за 2018 год.</w:t>
      </w:r>
      <w:r w:rsidR="001A78B4">
        <w:rPr>
          <w:color w:val="000000" w:themeColor="text1"/>
          <w:szCs w:val="24"/>
        </w:rPr>
        <w:t xml:space="preserve"> Ц</w:t>
      </w:r>
      <w:r w:rsidR="0096043E" w:rsidRPr="00D738C0">
        <w:rPr>
          <w:color w:val="000000" w:themeColor="text1"/>
          <w:szCs w:val="24"/>
        </w:rPr>
        <w:t>ель</w:t>
      </w:r>
      <w:r w:rsidR="001A78B4">
        <w:rPr>
          <w:color w:val="000000" w:themeColor="text1"/>
          <w:szCs w:val="24"/>
        </w:rPr>
        <w:t xml:space="preserve">ю подготовки </w:t>
      </w:r>
      <w:r w:rsidR="00CB37BB">
        <w:rPr>
          <w:color w:val="000000" w:themeColor="text1"/>
          <w:szCs w:val="24"/>
        </w:rPr>
        <w:t xml:space="preserve">и реализации </w:t>
      </w:r>
      <w:r w:rsidR="001A78B4">
        <w:rPr>
          <w:color w:val="000000" w:themeColor="text1"/>
          <w:szCs w:val="24"/>
        </w:rPr>
        <w:t xml:space="preserve">Программы развития является развитие </w:t>
      </w:r>
      <w:r w:rsidR="00C52F78">
        <w:rPr>
          <w:color w:val="000000" w:themeColor="text1"/>
          <w:szCs w:val="24"/>
        </w:rPr>
        <w:t>СКГА</w:t>
      </w:r>
      <w:r w:rsidR="00CB37BB">
        <w:rPr>
          <w:color w:val="000000" w:themeColor="text1"/>
          <w:szCs w:val="24"/>
        </w:rPr>
        <w:t xml:space="preserve">, предусматривающее достижение </w:t>
      </w:r>
      <w:r w:rsidR="0096043E" w:rsidRPr="003D5918">
        <w:rPr>
          <w:color w:val="000000" w:themeColor="text1"/>
          <w:szCs w:val="24"/>
        </w:rPr>
        <w:t>за обозначенный плановый период пороговы</w:t>
      </w:r>
      <w:r w:rsidR="00CB37BB" w:rsidRPr="003D5918">
        <w:rPr>
          <w:color w:val="000000" w:themeColor="text1"/>
          <w:szCs w:val="24"/>
        </w:rPr>
        <w:t>х</w:t>
      </w:r>
      <w:r w:rsidR="0096043E" w:rsidRPr="003D5918">
        <w:rPr>
          <w:color w:val="000000" w:themeColor="text1"/>
          <w:szCs w:val="24"/>
        </w:rPr>
        <w:t xml:space="preserve"> значени</w:t>
      </w:r>
      <w:r w:rsidR="00CB37BB" w:rsidRPr="003D5918">
        <w:rPr>
          <w:color w:val="000000" w:themeColor="text1"/>
          <w:szCs w:val="24"/>
        </w:rPr>
        <w:t>й</w:t>
      </w:r>
      <w:r w:rsidR="0096043E" w:rsidRPr="003D5918">
        <w:rPr>
          <w:color w:val="000000" w:themeColor="text1"/>
          <w:szCs w:val="24"/>
        </w:rPr>
        <w:t xml:space="preserve"> по всем показателям мониторинга эффективности</w:t>
      </w:r>
      <w:r w:rsidR="0096043E" w:rsidRPr="00D738C0">
        <w:rPr>
          <w:color w:val="000000" w:themeColor="text1"/>
          <w:szCs w:val="24"/>
        </w:rPr>
        <w:t>. Главными ориентирами развития Университета в Программе</w:t>
      </w:r>
      <w:r w:rsidR="00B11A93" w:rsidRPr="00D738C0">
        <w:rPr>
          <w:color w:val="000000" w:themeColor="text1"/>
          <w:szCs w:val="24"/>
        </w:rPr>
        <w:t xml:space="preserve"> </w:t>
      </w:r>
      <w:r w:rsidR="00675D92" w:rsidRPr="00D738C0">
        <w:rPr>
          <w:color w:val="000000" w:themeColor="text1"/>
          <w:szCs w:val="24"/>
        </w:rPr>
        <w:t>развития</w:t>
      </w:r>
      <w:r w:rsidR="00B11A93" w:rsidRPr="00D738C0">
        <w:rPr>
          <w:color w:val="000000" w:themeColor="text1"/>
          <w:szCs w:val="24"/>
        </w:rPr>
        <w:t xml:space="preserve"> были установлены запросы </w:t>
      </w:r>
      <w:r w:rsidR="004E595D">
        <w:rPr>
          <w:color w:val="000000" w:themeColor="text1"/>
          <w:szCs w:val="24"/>
        </w:rPr>
        <w:t>Карачаево-Черкесской Республики</w:t>
      </w:r>
      <w:r w:rsidR="00B11A93" w:rsidRPr="00D738C0">
        <w:rPr>
          <w:color w:val="000000" w:themeColor="text1"/>
          <w:szCs w:val="24"/>
        </w:rPr>
        <w:t xml:space="preserve"> на подготовку квалифицированных кадров и научные исследования в областях, являющимися для региона приоритетными, а также научно-технические вызовы для экономики страны в целом. </w:t>
      </w:r>
      <w:r w:rsidR="00FE766B">
        <w:rPr>
          <w:color w:val="000000" w:themeColor="text1"/>
          <w:szCs w:val="24"/>
        </w:rPr>
        <w:t>Для того</w:t>
      </w:r>
      <w:proofErr w:type="gramStart"/>
      <w:r w:rsidR="009B3F1E" w:rsidRPr="00D738C0">
        <w:rPr>
          <w:color w:val="000000" w:themeColor="text1"/>
          <w:szCs w:val="24"/>
        </w:rPr>
        <w:t>,</w:t>
      </w:r>
      <w:proofErr w:type="gramEnd"/>
      <w:r w:rsidR="009B3F1E" w:rsidRPr="00D738C0">
        <w:rPr>
          <w:color w:val="000000" w:themeColor="text1"/>
          <w:szCs w:val="24"/>
        </w:rPr>
        <w:t xml:space="preserve"> чтобы обозначенные ориентиры были максимально точно оценены как количественно, так и качественно, разработке Программы </w:t>
      </w:r>
      <w:r w:rsidR="00675D92" w:rsidRPr="00D738C0">
        <w:rPr>
          <w:color w:val="000000" w:themeColor="text1"/>
          <w:szCs w:val="24"/>
        </w:rPr>
        <w:t xml:space="preserve">развития </w:t>
      </w:r>
      <w:r w:rsidR="009B3F1E" w:rsidRPr="00D738C0">
        <w:rPr>
          <w:color w:val="000000" w:themeColor="text1"/>
          <w:szCs w:val="24"/>
        </w:rPr>
        <w:t>предшествовал глубокий анализ текущего социально-</w:t>
      </w:r>
      <w:r w:rsidR="009B3F1E" w:rsidRPr="00D738C0">
        <w:rPr>
          <w:color w:val="000000" w:themeColor="text1"/>
          <w:szCs w:val="24"/>
        </w:rPr>
        <w:lastRenderedPageBreak/>
        <w:t xml:space="preserve">экономического состояния </w:t>
      </w:r>
      <w:r w:rsidR="004E595D">
        <w:rPr>
          <w:color w:val="000000" w:themeColor="text1"/>
          <w:szCs w:val="24"/>
        </w:rPr>
        <w:t>Карачаево-Черкесской Республики</w:t>
      </w:r>
      <w:r w:rsidR="004E595D" w:rsidRPr="00D738C0">
        <w:rPr>
          <w:color w:val="000000" w:themeColor="text1"/>
          <w:szCs w:val="24"/>
        </w:rPr>
        <w:t xml:space="preserve"> </w:t>
      </w:r>
      <w:r w:rsidR="009B3F1E" w:rsidRPr="00D738C0">
        <w:rPr>
          <w:color w:val="000000" w:themeColor="text1"/>
          <w:szCs w:val="24"/>
        </w:rPr>
        <w:t xml:space="preserve">и программных документов развития региона на соответствующий плановый период и более длительный плановый горизонт. Был также проведен детальный анализ причин </w:t>
      </w:r>
      <w:proofErr w:type="spellStart"/>
      <w:r w:rsidR="009B3F1E" w:rsidRPr="00D738C0">
        <w:rPr>
          <w:color w:val="000000" w:themeColor="text1"/>
          <w:szCs w:val="24"/>
        </w:rPr>
        <w:t>недостижения</w:t>
      </w:r>
      <w:proofErr w:type="spellEnd"/>
      <w:r w:rsidR="009B3F1E" w:rsidRPr="00D738C0">
        <w:rPr>
          <w:color w:val="000000" w:themeColor="text1"/>
          <w:szCs w:val="24"/>
        </w:rPr>
        <w:t xml:space="preserve"> в 2018 году </w:t>
      </w:r>
      <w:r w:rsidR="003D5918">
        <w:rPr>
          <w:color w:val="000000" w:themeColor="text1"/>
          <w:szCs w:val="24"/>
        </w:rPr>
        <w:t>Северо-Кавказской государственной академией</w:t>
      </w:r>
      <w:r w:rsidR="009B3F1E" w:rsidRPr="00D738C0">
        <w:rPr>
          <w:color w:val="000000" w:themeColor="text1"/>
          <w:szCs w:val="24"/>
        </w:rPr>
        <w:t xml:space="preserve"> пороговых </w:t>
      </w:r>
      <w:proofErr w:type="gramStart"/>
      <w:r w:rsidR="009B3F1E" w:rsidRPr="00D738C0">
        <w:rPr>
          <w:color w:val="000000" w:themeColor="text1"/>
          <w:szCs w:val="24"/>
        </w:rPr>
        <w:t>значений показателей мониторинга эффективности деятельности образовательных организаций Министерства науки</w:t>
      </w:r>
      <w:proofErr w:type="gramEnd"/>
      <w:r w:rsidR="009B3F1E" w:rsidRPr="00D738C0">
        <w:rPr>
          <w:color w:val="000000" w:themeColor="text1"/>
          <w:szCs w:val="24"/>
        </w:rPr>
        <w:t xml:space="preserve"> и высшего образования Российской Федерации. </w:t>
      </w:r>
    </w:p>
    <w:p w:rsidR="00351D75" w:rsidRPr="00D738C0" w:rsidRDefault="00B11A93" w:rsidP="00A7327B">
      <w:pPr>
        <w:spacing w:after="0" w:line="360" w:lineRule="auto"/>
        <w:ind w:firstLine="709"/>
        <w:jc w:val="both"/>
        <w:rPr>
          <w:color w:val="000000" w:themeColor="text1"/>
          <w:szCs w:val="24"/>
        </w:rPr>
      </w:pPr>
      <w:r w:rsidRPr="00D738C0">
        <w:rPr>
          <w:color w:val="000000" w:themeColor="text1"/>
          <w:szCs w:val="24"/>
        </w:rPr>
        <w:t xml:space="preserve">По завершении 2019 года изменилась ситуация в регионе под влиянием социально-экономических и геополитических факторов, </w:t>
      </w:r>
      <w:r w:rsidR="009B3F1E" w:rsidRPr="00D738C0">
        <w:rPr>
          <w:color w:val="000000" w:themeColor="text1"/>
          <w:szCs w:val="24"/>
        </w:rPr>
        <w:t>был принят ряд значимых государственных документов, содержание которых требует учета в Программе</w:t>
      </w:r>
      <w:r w:rsidR="00675D92" w:rsidRPr="00D738C0">
        <w:rPr>
          <w:color w:val="000000" w:themeColor="text1"/>
          <w:szCs w:val="24"/>
        </w:rPr>
        <w:t xml:space="preserve"> развития</w:t>
      </w:r>
      <w:r w:rsidR="009B3F1E" w:rsidRPr="00D738C0">
        <w:rPr>
          <w:color w:val="000000" w:themeColor="text1"/>
          <w:szCs w:val="24"/>
        </w:rPr>
        <w:t xml:space="preserve">. </w:t>
      </w:r>
    </w:p>
    <w:p w:rsidR="00F97016" w:rsidRDefault="009B3F1E" w:rsidP="00A7327B">
      <w:pPr>
        <w:spacing w:after="0" w:line="360" w:lineRule="auto"/>
        <w:ind w:firstLine="709"/>
        <w:jc w:val="both"/>
        <w:rPr>
          <w:color w:val="000000" w:themeColor="text1"/>
          <w:szCs w:val="24"/>
        </w:rPr>
      </w:pPr>
      <w:r w:rsidRPr="00D738C0">
        <w:rPr>
          <w:color w:val="000000" w:themeColor="text1"/>
          <w:szCs w:val="24"/>
        </w:rPr>
        <w:t>Кроме того</w:t>
      </w:r>
      <w:r w:rsidR="00F97016" w:rsidRPr="00D738C0">
        <w:rPr>
          <w:color w:val="000000" w:themeColor="text1"/>
          <w:szCs w:val="24"/>
        </w:rPr>
        <w:t xml:space="preserve">, самим Университетом, находящимся в программе </w:t>
      </w:r>
      <w:proofErr w:type="spellStart"/>
      <w:r w:rsidR="00F97016" w:rsidRPr="00D738C0">
        <w:rPr>
          <w:color w:val="000000" w:themeColor="text1"/>
          <w:szCs w:val="24"/>
        </w:rPr>
        <w:t>Минобрнауки</w:t>
      </w:r>
      <w:proofErr w:type="spellEnd"/>
      <w:r w:rsidR="00F97016" w:rsidRPr="00D738C0">
        <w:rPr>
          <w:color w:val="000000" w:themeColor="text1"/>
          <w:szCs w:val="24"/>
        </w:rPr>
        <w:t xml:space="preserve"> </w:t>
      </w:r>
      <w:r w:rsidR="00675D92" w:rsidRPr="00D738C0">
        <w:rPr>
          <w:color w:val="000000" w:themeColor="text1"/>
          <w:szCs w:val="24"/>
        </w:rPr>
        <w:t xml:space="preserve">России </w:t>
      </w:r>
      <w:r w:rsidR="00F97016" w:rsidRPr="00D738C0">
        <w:rPr>
          <w:color w:val="000000" w:themeColor="text1"/>
          <w:szCs w:val="24"/>
        </w:rPr>
        <w:t xml:space="preserve">по методической и консультационной поддержке подведомственных учреждений с целью повышения их финансовой устойчивости, в 2019 году были улучшены некоторые показатели, характеризующие результаты работы </w:t>
      </w:r>
      <w:proofErr w:type="gramStart"/>
      <w:r w:rsidR="00F97016" w:rsidRPr="00D738C0">
        <w:rPr>
          <w:color w:val="000000" w:themeColor="text1"/>
          <w:szCs w:val="24"/>
        </w:rPr>
        <w:t>по</w:t>
      </w:r>
      <w:proofErr w:type="gramEnd"/>
      <w:r w:rsidR="00F97016" w:rsidRPr="00D738C0">
        <w:rPr>
          <w:color w:val="000000" w:themeColor="text1"/>
          <w:szCs w:val="24"/>
        </w:rPr>
        <w:t xml:space="preserve"> </w:t>
      </w:r>
      <w:proofErr w:type="gramStart"/>
      <w:r w:rsidR="00F97016" w:rsidRPr="00D738C0">
        <w:rPr>
          <w:color w:val="000000" w:themeColor="text1"/>
          <w:szCs w:val="24"/>
        </w:rPr>
        <w:t>основным</w:t>
      </w:r>
      <w:proofErr w:type="gramEnd"/>
      <w:r w:rsidR="00F97016" w:rsidRPr="00D738C0">
        <w:rPr>
          <w:color w:val="000000" w:themeColor="text1"/>
          <w:szCs w:val="24"/>
        </w:rPr>
        <w:t xml:space="preserve"> направлениям деятельности </w:t>
      </w:r>
      <w:r w:rsidR="00C52F78">
        <w:rPr>
          <w:color w:val="000000" w:themeColor="text1"/>
          <w:szCs w:val="24"/>
        </w:rPr>
        <w:t>СКГА</w:t>
      </w:r>
      <w:r w:rsidR="00F97016" w:rsidRPr="00D738C0">
        <w:rPr>
          <w:color w:val="000000" w:themeColor="text1"/>
          <w:szCs w:val="24"/>
        </w:rPr>
        <w:t xml:space="preserve">. </w:t>
      </w:r>
    </w:p>
    <w:p w:rsidR="009C73CE" w:rsidRDefault="009C73CE" w:rsidP="009C73CE">
      <w:pPr>
        <w:spacing w:after="0" w:line="360" w:lineRule="auto"/>
        <w:ind w:firstLine="567"/>
        <w:jc w:val="both"/>
        <w:rPr>
          <w:bCs/>
          <w:szCs w:val="24"/>
        </w:rPr>
      </w:pPr>
      <w:proofErr w:type="gramStart"/>
      <w:r>
        <w:rPr>
          <w:bCs/>
          <w:szCs w:val="24"/>
        </w:rPr>
        <w:t>В соответствии с Заданием на выполнение работ (оказание услуг), связанных с оказанием методической и организационной поддержки по внедрению разработанной программы развития в образовательной организации высшего образования Карачаево-Черкесской Республики 4 июня 2020 года в дистанционном формате в ФГБОУ ВО «Северо-Кавказская государственная академия» (далее – СКГА) был проведен однодневный онлайн семинар по вопросам внедрения Программы развития СКГА на 2020-2022 годы, разработанной в соответствии</w:t>
      </w:r>
      <w:proofErr w:type="gramEnd"/>
      <w:r>
        <w:rPr>
          <w:bCs/>
          <w:szCs w:val="24"/>
        </w:rPr>
        <w:t xml:space="preserve"> с региональными запросами и научно-технологическими вызовами. </w:t>
      </w:r>
    </w:p>
    <w:p w:rsidR="009C73CE" w:rsidRDefault="009C73CE" w:rsidP="009C73CE">
      <w:pPr>
        <w:spacing w:after="0"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>Участниками семинара стали представители Министерства науки и высшего образования Российской Федерации, органов исполнительной власти Карачаево-Черкесской Республики, представители промышленных и академических партнеров СКГА, регионального бизнеса, профессорско-преподавательского состава и менеджмента СКГА и МФТИ.</w:t>
      </w:r>
    </w:p>
    <w:p w:rsidR="009C73CE" w:rsidRDefault="009C73CE" w:rsidP="009C73CE">
      <w:pPr>
        <w:spacing w:after="0"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>Программа семинара была построена с целью всестороннего рассмотрения возможных мероприятий и проектов, направленных на развитие СКГА и внедрение в академии передовых образовательных технологий и управленческих механизмов.</w:t>
      </w:r>
    </w:p>
    <w:p w:rsidR="00BF3697" w:rsidRPr="00D738C0" w:rsidRDefault="00BF3697" w:rsidP="009C73CE">
      <w:pPr>
        <w:spacing w:after="0" w:line="360" w:lineRule="auto"/>
        <w:ind w:firstLine="708"/>
        <w:jc w:val="both"/>
        <w:rPr>
          <w:color w:val="000000" w:themeColor="text1"/>
          <w:szCs w:val="24"/>
        </w:rPr>
      </w:pPr>
      <w:r w:rsidRPr="00D738C0">
        <w:rPr>
          <w:color w:val="000000" w:themeColor="text1"/>
          <w:szCs w:val="24"/>
        </w:rPr>
        <w:t xml:space="preserve">В ходе семинара были высказаны замечания к Программе </w:t>
      </w:r>
      <w:r w:rsidR="005262A9" w:rsidRPr="00D738C0">
        <w:rPr>
          <w:color w:val="000000" w:themeColor="text1"/>
          <w:szCs w:val="24"/>
        </w:rPr>
        <w:t xml:space="preserve">развития </w:t>
      </w:r>
      <w:r w:rsidRPr="00D738C0">
        <w:rPr>
          <w:color w:val="000000" w:themeColor="text1"/>
          <w:szCs w:val="24"/>
        </w:rPr>
        <w:t>и выработаны предложения по её доработке.</w:t>
      </w:r>
    </w:p>
    <w:p w:rsidR="009B3F1E" w:rsidRPr="00D738C0" w:rsidRDefault="00BF3697" w:rsidP="00A7327B">
      <w:pPr>
        <w:spacing w:after="0" w:line="360" w:lineRule="auto"/>
        <w:ind w:firstLine="709"/>
        <w:jc w:val="both"/>
        <w:rPr>
          <w:color w:val="000000" w:themeColor="text1"/>
          <w:szCs w:val="24"/>
        </w:rPr>
      </w:pPr>
      <w:r w:rsidRPr="00D738C0">
        <w:rPr>
          <w:color w:val="000000" w:themeColor="text1"/>
          <w:szCs w:val="24"/>
        </w:rPr>
        <w:t>Описанные факторы обусловили необходимость доработки Прогр</w:t>
      </w:r>
      <w:r w:rsidR="00675D92" w:rsidRPr="00D738C0">
        <w:rPr>
          <w:color w:val="000000" w:themeColor="text1"/>
          <w:szCs w:val="24"/>
        </w:rPr>
        <w:t>аммы</w:t>
      </w:r>
      <w:r w:rsidR="005262A9" w:rsidRPr="00D738C0">
        <w:rPr>
          <w:color w:val="000000" w:themeColor="text1"/>
          <w:szCs w:val="24"/>
        </w:rPr>
        <w:t xml:space="preserve"> развития</w:t>
      </w:r>
      <w:r w:rsidRPr="00D738C0">
        <w:rPr>
          <w:color w:val="000000" w:themeColor="text1"/>
          <w:szCs w:val="24"/>
        </w:rPr>
        <w:t xml:space="preserve">. </w:t>
      </w:r>
      <w:r w:rsidR="00F97016" w:rsidRPr="00D738C0">
        <w:rPr>
          <w:color w:val="000000" w:themeColor="text1"/>
          <w:szCs w:val="24"/>
        </w:rPr>
        <w:t xml:space="preserve"> </w:t>
      </w:r>
    </w:p>
    <w:p w:rsidR="00EB6A26" w:rsidRPr="00D738C0" w:rsidRDefault="00EB6A26" w:rsidP="00A10256">
      <w:pPr>
        <w:spacing w:after="0" w:line="360" w:lineRule="auto"/>
        <w:jc w:val="both"/>
        <w:rPr>
          <w:color w:val="000000" w:themeColor="text1"/>
          <w:szCs w:val="24"/>
        </w:rPr>
      </w:pPr>
    </w:p>
    <w:p w:rsidR="00EB6A26" w:rsidRDefault="00EB6A26" w:rsidP="00A10256">
      <w:pPr>
        <w:spacing w:after="0" w:line="360" w:lineRule="auto"/>
        <w:jc w:val="both"/>
        <w:rPr>
          <w:color w:val="000000" w:themeColor="text1"/>
          <w:szCs w:val="24"/>
        </w:rPr>
      </w:pPr>
    </w:p>
    <w:p w:rsidR="00850628" w:rsidRDefault="00850628" w:rsidP="00A10256">
      <w:pPr>
        <w:spacing w:after="0" w:line="360" w:lineRule="auto"/>
        <w:jc w:val="both"/>
        <w:rPr>
          <w:color w:val="000000" w:themeColor="text1"/>
          <w:szCs w:val="24"/>
        </w:rPr>
      </w:pPr>
    </w:p>
    <w:p w:rsidR="00850628" w:rsidRDefault="00850628" w:rsidP="00A10256">
      <w:pPr>
        <w:spacing w:after="0" w:line="360" w:lineRule="auto"/>
        <w:jc w:val="both"/>
        <w:rPr>
          <w:color w:val="000000" w:themeColor="text1"/>
          <w:szCs w:val="24"/>
        </w:rPr>
      </w:pPr>
    </w:p>
    <w:p w:rsidR="00EB6A26" w:rsidRPr="00B756AA" w:rsidRDefault="00B756AA" w:rsidP="00B756A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9181854"/>
      <w:r w:rsidRPr="00B756AA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A54DF7" w:rsidRPr="00B756AA">
        <w:rPr>
          <w:rFonts w:ascii="Times New Roman" w:hAnsi="Times New Roman" w:cs="Times New Roman"/>
          <w:b/>
          <w:color w:val="auto"/>
          <w:sz w:val="24"/>
          <w:szCs w:val="24"/>
        </w:rPr>
        <w:t>. АНАЛИЗ</w:t>
      </w:r>
      <w:r w:rsidR="003E3DAD" w:rsidRPr="00B756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ВНЕШНИХ И ВНУТРЕННИХ ФАКТОРОВ,</w:t>
      </w:r>
      <w:r w:rsidR="00A10256" w:rsidRPr="00B756AA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261ED4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A54DF7" w:rsidRPr="00B756AA">
        <w:rPr>
          <w:rFonts w:ascii="Times New Roman" w:hAnsi="Times New Roman" w:cs="Times New Roman"/>
          <w:b/>
          <w:color w:val="auto"/>
          <w:sz w:val="24"/>
          <w:szCs w:val="24"/>
        </w:rPr>
        <w:t>БУСЛОВЛИВАЮЩИХ НЕОБХОДИМ</w:t>
      </w:r>
      <w:r w:rsidR="003E3DAD" w:rsidRPr="00B756AA">
        <w:rPr>
          <w:rFonts w:ascii="Times New Roman" w:hAnsi="Times New Roman" w:cs="Times New Roman"/>
          <w:b/>
          <w:color w:val="auto"/>
          <w:sz w:val="24"/>
          <w:szCs w:val="24"/>
        </w:rPr>
        <w:t>ОСТЬ ДОРАБОТКИ</w:t>
      </w:r>
      <w:r w:rsidR="00A10256" w:rsidRPr="00B756AA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A54DF7" w:rsidRPr="00B756AA">
        <w:rPr>
          <w:rFonts w:ascii="Times New Roman" w:hAnsi="Times New Roman" w:cs="Times New Roman"/>
          <w:b/>
          <w:color w:val="auto"/>
          <w:sz w:val="24"/>
          <w:szCs w:val="24"/>
        </w:rPr>
        <w:t>ПРОГРАММЫ РАЗВИТИЯ</w:t>
      </w:r>
      <w:bookmarkEnd w:id="2"/>
    </w:p>
    <w:p w:rsidR="00A54DF7" w:rsidRPr="00B756AA" w:rsidRDefault="00A54DF7" w:rsidP="00B756AA"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 w:rsidR="009169D0" w:rsidRPr="00B756AA" w:rsidRDefault="00A54DF7" w:rsidP="00B756A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49181855"/>
      <w:r w:rsidRPr="00B756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1.1. </w:t>
      </w:r>
      <w:r w:rsidR="009169D0" w:rsidRPr="00B756AA">
        <w:rPr>
          <w:rFonts w:ascii="Times New Roman" w:hAnsi="Times New Roman" w:cs="Times New Roman"/>
          <w:b/>
          <w:color w:val="auto"/>
          <w:sz w:val="24"/>
          <w:szCs w:val="24"/>
        </w:rPr>
        <w:t>Внешние факторы, требующие учета в Программе развития</w:t>
      </w:r>
      <w:bookmarkEnd w:id="3"/>
    </w:p>
    <w:p w:rsidR="00EB6A26" w:rsidRPr="00B756AA" w:rsidRDefault="00EB6A26" w:rsidP="00B756A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E5DA0" w:rsidRDefault="00455FCC" w:rsidP="00FE5DA0">
      <w:pPr>
        <w:spacing w:after="0" w:line="360" w:lineRule="auto"/>
      </w:pP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1.1.1. </w:t>
      </w:r>
      <w:r w:rsidR="00FE5DA0">
        <w:t>Карачаево-Черкесия – субъект Российской Федерации, промы</w:t>
      </w:r>
      <w:r w:rsidR="00945DF6">
        <w:t>шленная и аграрная республика, т</w:t>
      </w:r>
      <w:r w:rsidR="00FE5DA0">
        <w:t>ерритор</w:t>
      </w:r>
      <w:r w:rsidR="00945DF6">
        <w:t>ию можно разделить на 2 области: н</w:t>
      </w:r>
      <w:r w:rsidR="00FE5DA0">
        <w:t>а севере более развито химическое производство, машинос</w:t>
      </w:r>
      <w:r w:rsidR="00945DF6">
        <w:t>троение и лёгкая промышленность, д</w:t>
      </w:r>
      <w:r w:rsidR="00FE5DA0">
        <w:t xml:space="preserve">ля южных территорий более характерны добывающая, деревообрабатывающая промышленность и животноводство. Большая часть (около 80%) Карачаево-Черкесской Республики расположена в горной местности. В пределах республики выделяются 3 зоны: предгорная равнина, предгорья и горы Кавказа. </w:t>
      </w:r>
    </w:p>
    <w:p w:rsidR="00FE5DA0" w:rsidRDefault="00FE5DA0" w:rsidP="00847723">
      <w:pPr>
        <w:spacing w:after="0" w:line="360" w:lineRule="auto"/>
        <w:ind w:firstLine="708"/>
      </w:pPr>
      <w:r>
        <w:t>Республика имеет разнообразный этнический состав, сконцентрированный на небольшой территории, что оказывает влияние на общественно-политическую обстановку региона и создает уникальную межнациональную атмосферу.</w:t>
      </w:r>
    </w:p>
    <w:p w:rsidR="00FE5DA0" w:rsidRDefault="00FE5DA0" w:rsidP="00945DF6">
      <w:pPr>
        <w:spacing w:after="0" w:line="360" w:lineRule="auto"/>
        <w:ind w:firstLine="708"/>
      </w:pPr>
      <w:r>
        <w:t xml:space="preserve">Численность населения региона на 01.01.2019 года составляет 465,6 тыс. человек, из которых доля сельского населения - 57,2%. </w:t>
      </w:r>
    </w:p>
    <w:p w:rsidR="00FE5DA0" w:rsidRDefault="00FE5DA0" w:rsidP="00847723">
      <w:pPr>
        <w:spacing w:after="0" w:line="360" w:lineRule="auto"/>
        <w:ind w:firstLine="708"/>
      </w:pPr>
      <w:r>
        <w:t>В структуре населения по возрастным группам: 57% составляет население в трудоспособном возрасте; дети до 15 лет – 21%; население старше 72 лет - 22 %. Это соотношение указывает на наличие проблемы старения населения.</w:t>
      </w:r>
      <w:r w:rsidR="00847723">
        <w:t xml:space="preserve"> </w:t>
      </w:r>
      <w:r>
        <w:t>Для региона характерна миграционная убыль – по итогам 2018 года на 1559 человек.</w:t>
      </w:r>
    </w:p>
    <w:p w:rsidR="00FE5DA0" w:rsidRDefault="00FE5DA0" w:rsidP="00847723">
      <w:pPr>
        <w:spacing w:after="0" w:line="360" w:lineRule="auto"/>
        <w:ind w:firstLine="708"/>
      </w:pPr>
      <w:r>
        <w:t xml:space="preserve">Карачаево-Черкесия находится на втором месте по уровню официальной безработицы – по итогам 2018 года 12%. </w:t>
      </w:r>
    </w:p>
    <w:p w:rsidR="00FE5DA0" w:rsidRDefault="00FE5DA0" w:rsidP="00847723">
      <w:pPr>
        <w:spacing w:after="0" w:line="360" w:lineRule="auto"/>
        <w:ind w:firstLine="708"/>
      </w:pPr>
      <w:r>
        <w:t>Объем государственного долга Карачаево-Черкесии на август 2019 года составил 5,67 млрд. рублей. Отношение государственного долга КЧР к налоговым и неналоговым доходам ее бюджета одно из самых высоких в стране и составляет 92,5% и имеет тенденцию к росту.</w:t>
      </w:r>
    </w:p>
    <w:p w:rsidR="00FE5DA0" w:rsidRDefault="00FE5DA0" w:rsidP="00847723">
      <w:pPr>
        <w:spacing w:after="0" w:line="360" w:lineRule="auto"/>
        <w:ind w:firstLine="708"/>
      </w:pPr>
      <w:r>
        <w:t xml:space="preserve">В Карачаево-Черкесии наблюдается устойчивая тенденция роста по таким важным социально-экономическим показателям как валовой региональный продукт на душу населения, инвестиции в основной капитал, ввод в эксплуатацию общей площади жилых домов, средняя заработная плата, уровень развития реального сектора экономики, </w:t>
      </w:r>
      <w:r>
        <w:lastRenderedPageBreak/>
        <w:t>снижение уровня инфляции. ВРП по результатам 2017 года составил 74,6 млрд. рублей, причем в динамике он показывает ежегодный прирост примерно на уровне 5 %. ВРП на душу населения за 2017 год составил 160 110,5 рублей с сохранением тенденции ежегодного 5 % прироста. В структуре ВРП большая доля приходится на промышленность – 23,3 %, сельское хозяйство – 18,5 %.</w:t>
      </w:r>
    </w:p>
    <w:p w:rsidR="00FE5DA0" w:rsidRDefault="00FE5DA0" w:rsidP="00847723">
      <w:pPr>
        <w:spacing w:after="0" w:line="360" w:lineRule="auto"/>
        <w:ind w:firstLine="708"/>
        <w:jc w:val="both"/>
      </w:pPr>
      <w:r>
        <w:t xml:space="preserve">В системе профессионального образования в Карачаево-Черкесии образовательную деятельность осуществляют 2 федеральных </w:t>
      </w:r>
      <w:proofErr w:type="gramStart"/>
      <w:r>
        <w:t>вуза</w:t>
      </w:r>
      <w:proofErr w:type="gramEnd"/>
      <w:r>
        <w:t xml:space="preserve"> и пять филиалов, в которых обучаются 11609 человек, в том числе по очной форме обучения – 4553 человека, 10265 человек – студенты государственных образовательных организаций. Наблюдается отрицательная динамика численности студентов - падение к уровню 2012 года - на 25 %. Общая численность студентов учреждений высшего образования в 2019 году составила 11609 человек, в том числе по очной форме обучения – 4553 человека, 10265 человек – студенты государственных образовательных организаций. Этот показатель по сравнению с 2012 годом снизился на 25%. Основные причины этого снижения кроются в том, что на период 2016-2018 гг. приходится «демографическая яма» для лиц в возрасте от 15 до 19 лет.</w:t>
      </w:r>
    </w:p>
    <w:p w:rsidR="00FE5DA0" w:rsidRDefault="00FE5DA0" w:rsidP="001F6FB4">
      <w:pPr>
        <w:spacing w:after="0" w:line="360" w:lineRule="auto"/>
        <w:ind w:firstLine="708"/>
        <w:jc w:val="both"/>
      </w:pPr>
      <w:r>
        <w:t>Кроме основных отраслевых комплексов в промышленности республики развиты деревообработка, целлюлозно-бумажная, легкая и фармацевтическая промышленность.</w:t>
      </w:r>
      <w:r w:rsidR="001F6FB4">
        <w:t xml:space="preserve"> </w:t>
      </w:r>
      <w:r>
        <w:t xml:space="preserve">Добыча полезных ископаемых осуществляется на базе разведанных месторождений вольфрама, каменного угля, </w:t>
      </w:r>
      <w:proofErr w:type="spellStart"/>
      <w:r>
        <w:t>медноколчеданных</w:t>
      </w:r>
      <w:proofErr w:type="spellEnd"/>
      <w:r>
        <w:t xml:space="preserve"> руд, цинка (</w:t>
      </w:r>
      <w:proofErr w:type="spellStart"/>
      <w:r>
        <w:t>Худесское</w:t>
      </w:r>
      <w:proofErr w:type="spellEnd"/>
      <w:r>
        <w:t xml:space="preserve"> месторождение), различных облицовочных камней и базальтов для производства минерального волокна. Хорошую сырьевую базу для интенсивного развития в регионе промышленности строительных материалов обеспечивают нерудные материалы, цементное сырье и гипс, которые присутствуют в добываемых полезных ископаемых. Подземные минеральные воды высокого качества составляют значительный вес в структуре запасов Карачаево-Черкесии.</w:t>
      </w:r>
    </w:p>
    <w:p w:rsidR="00FE5DA0" w:rsidRDefault="00FE5DA0" w:rsidP="00847723">
      <w:pPr>
        <w:spacing w:after="0" w:line="360" w:lineRule="auto"/>
        <w:ind w:firstLine="708"/>
        <w:jc w:val="both"/>
      </w:pPr>
      <w:r>
        <w:t xml:space="preserve">Карачаево-Черкесия располагает хорошим туристическим потенциалом. Обширная горная часть региона является курортной зоной, включающей в себя Домбай, Теберда, Архыз, высокогорные плато </w:t>
      </w:r>
      <w:proofErr w:type="spellStart"/>
      <w:r>
        <w:t>Бийчесын</w:t>
      </w:r>
      <w:proofErr w:type="spellEnd"/>
      <w:r>
        <w:t xml:space="preserve">, </w:t>
      </w:r>
      <w:proofErr w:type="spellStart"/>
      <w:r>
        <w:t>Бермамыт</w:t>
      </w:r>
      <w:proofErr w:type="spellEnd"/>
      <w:r>
        <w:t xml:space="preserve">, Западное </w:t>
      </w:r>
      <w:proofErr w:type="spellStart"/>
      <w:r>
        <w:t>Приэльбрусье</w:t>
      </w:r>
      <w:proofErr w:type="spellEnd"/>
      <w:r>
        <w:t>.</w:t>
      </w:r>
    </w:p>
    <w:p w:rsidR="00FE5DA0" w:rsidRDefault="00FE5DA0" w:rsidP="00847723">
      <w:pPr>
        <w:spacing w:after="0" w:line="360" w:lineRule="auto"/>
        <w:ind w:firstLine="708"/>
        <w:jc w:val="both"/>
      </w:pPr>
      <w:r>
        <w:t>Таким</w:t>
      </w:r>
      <w:r w:rsidR="00847723">
        <w:t xml:space="preserve"> образом, Карачаево-Черкесскую Р</w:t>
      </w:r>
      <w:r>
        <w:t>еспублику можно охарактеризовать как регион со сложным социально-экономическим положением, в котором относительно недавно началась активная работа по решению комплекса проблем экономики и социальной сферы. Предпринимаемые шаги уже дают первые результаты и позволяют республике положить начало улучшению социально-экономического положения, развитию новых технологий и повышению эффективности использования потенциала региона.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lastRenderedPageBreak/>
        <w:t>Наличие проблем в сфере занятости и оплаты труда, высокий уровень миграции населения привели к сокращению численности студентов в организациях высшего образования при естественном росте рождаемости в регионе.</w:t>
      </w:r>
    </w:p>
    <w:p w:rsidR="00FE5DA0" w:rsidRDefault="00FE5DA0" w:rsidP="00FE5DA0">
      <w:pPr>
        <w:spacing w:after="0" w:line="360" w:lineRule="auto"/>
      </w:pPr>
    </w:p>
    <w:p w:rsidR="00FE5DA0" w:rsidRDefault="00FE5DA0" w:rsidP="00847723">
      <w:pPr>
        <w:spacing w:after="0" w:line="360" w:lineRule="auto"/>
        <w:ind w:firstLine="567"/>
        <w:jc w:val="both"/>
      </w:pPr>
      <w:r w:rsidRPr="00077D8F">
        <w:t>Основной целью государственной программы</w:t>
      </w:r>
      <w:r>
        <w:t xml:space="preserve"> с</w:t>
      </w:r>
      <w:r w:rsidRPr="00077D8F">
        <w:t>оциальн</w:t>
      </w:r>
      <w:r>
        <w:t>ой</w:t>
      </w:r>
      <w:r w:rsidRPr="00077D8F">
        <w:t xml:space="preserve"> защит</w:t>
      </w:r>
      <w:r>
        <w:t>ы</w:t>
      </w:r>
      <w:r w:rsidRPr="00077D8F">
        <w:t xml:space="preserve"> населения</w:t>
      </w:r>
      <w:r>
        <w:rPr>
          <w:rStyle w:val="af5"/>
        </w:rPr>
        <w:footnoteReference w:id="1"/>
      </w:r>
      <w:r>
        <w:t xml:space="preserve"> </w:t>
      </w:r>
      <w:r w:rsidRPr="00077D8F">
        <w:t xml:space="preserve">в </w:t>
      </w:r>
      <w:r>
        <w:t>К</w:t>
      </w:r>
      <w:r w:rsidRPr="00077D8F">
        <w:t>арачаево-</w:t>
      </w:r>
      <w:r>
        <w:t>Ч</w:t>
      </w:r>
      <w:r w:rsidRPr="00077D8F">
        <w:t xml:space="preserve">еркесской </w:t>
      </w:r>
      <w:r>
        <w:t>Р</w:t>
      </w:r>
      <w:r w:rsidRPr="00077D8F">
        <w:t xml:space="preserve">еспублике </w:t>
      </w:r>
      <w:r>
        <w:t xml:space="preserve">является </w:t>
      </w:r>
      <w:r w:rsidRPr="00077D8F">
        <w:t>повышение уровня и качества жизни граждан пожилого возраста, инвалидов, семей с детьми и других социально незащищенных категорий граждан, сокращение бедности за счет развития адресных форм социальной защиты населения, проживающего на территории</w:t>
      </w:r>
      <w:r>
        <w:t xml:space="preserve"> региона.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t>Для достижения указанной цели на период с 2019 по 2024 годы определены следующие направления развития</w:t>
      </w:r>
      <w:r w:rsidRPr="00077D8F">
        <w:t>: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t xml:space="preserve">- </w:t>
      </w:r>
      <w:r w:rsidRPr="00077D8F">
        <w:t>обеспечение реализации государственной политики в области охраны здоровья граждан;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t xml:space="preserve">- </w:t>
      </w:r>
      <w:r w:rsidRPr="00077D8F">
        <w:t>повышение уровня, качества и безопасн</w:t>
      </w:r>
      <w:r w:rsidR="00847723">
        <w:t>ости социального обслуживания и</w:t>
      </w:r>
      <w:r w:rsidRPr="00077D8F">
        <w:t xml:space="preserve"> социальной поддержки населения;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t xml:space="preserve">- </w:t>
      </w:r>
      <w:r w:rsidRPr="00077D8F">
        <w:t>обеспечение социальной и экономической устойчивости семьи, повышение рождаемости;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t xml:space="preserve">- </w:t>
      </w:r>
      <w:r w:rsidRPr="00077D8F">
        <w:t>повышение уровня и качества жизни граждан, сокращение социального неравенства, улучшение демографической ситуации;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t xml:space="preserve">- </w:t>
      </w:r>
      <w:r w:rsidRPr="00077D8F">
        <w:t xml:space="preserve">улучшение условий и охраны труда у работодателей, </w:t>
      </w:r>
      <w:r w:rsidR="00847723" w:rsidRPr="00077D8F">
        <w:t>расположенных на территории</w:t>
      </w:r>
      <w:r w:rsidRPr="00077D8F">
        <w:t xml:space="preserve"> Карачаево-</w:t>
      </w:r>
      <w:r w:rsidR="00847723" w:rsidRPr="00077D8F">
        <w:t>Черкесской Республики, и</w:t>
      </w:r>
      <w:r>
        <w:t>,</w:t>
      </w:r>
      <w:r w:rsidRPr="00077D8F">
        <w:t xml:space="preserve"> как следствие, снижение уровня производственного травматизма и профессиональной заболеваемости;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t xml:space="preserve">- </w:t>
      </w:r>
      <w:r w:rsidR="00847723" w:rsidRPr="00077D8F">
        <w:t>формирование организационных, правовых, социально</w:t>
      </w:r>
      <w:r w:rsidRPr="00077D8F">
        <w:t>-</w:t>
      </w:r>
      <w:r w:rsidR="00847723" w:rsidRPr="00077D8F">
        <w:t>экономических условий для</w:t>
      </w:r>
      <w:r w:rsidRPr="00077D8F">
        <w:t xml:space="preserve"> осуществления мер по улучшению положения и качества жизни пожилых граждан, повышению степени их социальной защищенности, активизации участия пожилых людей в жизни общества;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t xml:space="preserve">- </w:t>
      </w:r>
      <w:r w:rsidRPr="00077D8F">
        <w:t>полноценная комплексная реабилитация и социальная интеграция инвалидов по зрению в общество, повышение их уровня жизни;</w:t>
      </w:r>
    </w:p>
    <w:p w:rsidR="00FE5DA0" w:rsidRDefault="00FE5DA0" w:rsidP="00847723">
      <w:pPr>
        <w:spacing w:after="0" w:line="360" w:lineRule="auto"/>
        <w:ind w:firstLine="567"/>
        <w:jc w:val="both"/>
      </w:pPr>
      <w:r>
        <w:lastRenderedPageBreak/>
        <w:t xml:space="preserve">- </w:t>
      </w:r>
      <w:r w:rsidRPr="00077D8F">
        <w:t xml:space="preserve">осуществление немедицинской реабилитации и </w:t>
      </w:r>
      <w:proofErr w:type="spellStart"/>
      <w:r w:rsidRPr="00077D8F">
        <w:t>ресоциализации</w:t>
      </w:r>
      <w:proofErr w:type="spellEnd"/>
      <w:r w:rsidRPr="00077D8F">
        <w:t xml:space="preserve"> </w:t>
      </w:r>
      <w:proofErr w:type="spellStart"/>
      <w:r w:rsidRPr="00077D8F">
        <w:t>наркопотребителей</w:t>
      </w:r>
      <w:proofErr w:type="spellEnd"/>
      <w:r w:rsidRPr="00077D8F">
        <w:t xml:space="preserve"> в Карачаево-Черкесской Республике, повышение доступности реабилитационных услуг для </w:t>
      </w:r>
      <w:proofErr w:type="spellStart"/>
      <w:r w:rsidRPr="00077D8F">
        <w:t>наркопотребителей</w:t>
      </w:r>
      <w:proofErr w:type="spellEnd"/>
      <w:r>
        <w:rPr>
          <w:rStyle w:val="af5"/>
        </w:rPr>
        <w:footnoteReference w:id="2"/>
      </w:r>
      <w:r w:rsidRPr="00077D8F">
        <w:t>.</w:t>
      </w:r>
    </w:p>
    <w:p w:rsidR="00FE5DA0" w:rsidRDefault="00FE5DA0" w:rsidP="001F6FB4">
      <w:pPr>
        <w:spacing w:after="0" w:line="360" w:lineRule="auto"/>
        <w:ind w:firstLine="567"/>
        <w:jc w:val="both"/>
      </w:pPr>
      <w:r>
        <w:t xml:space="preserve">В соответствии с постановлением Правительства Карачаево-Черкесской Республики №10 от 22.01.2019 года </w:t>
      </w:r>
      <w:r w:rsidRPr="006136C7">
        <w:rPr>
          <w:szCs w:val="24"/>
        </w:rPr>
        <w:t>«</w:t>
      </w:r>
      <w:r>
        <w:t xml:space="preserve">О государственной программе </w:t>
      </w:r>
      <w:r w:rsidRPr="006136C7">
        <w:rPr>
          <w:szCs w:val="24"/>
        </w:rPr>
        <w:t>«</w:t>
      </w:r>
      <w:r>
        <w:t>Стимулирование экономического развития Карачаево-Черкесской Республики</w:t>
      </w:r>
      <w:r w:rsidRPr="00FA5766">
        <w:rPr>
          <w:szCs w:val="24"/>
        </w:rPr>
        <w:t>»</w:t>
      </w:r>
      <w:r>
        <w:t xml:space="preserve"> (с изменениями на 23.04.2019 года</w:t>
      </w:r>
      <w:r>
        <w:rPr>
          <w:rStyle w:val="af5"/>
        </w:rPr>
        <w:footnoteReference w:id="3"/>
      </w:r>
      <w:r>
        <w:t>) основными приоритетами государственной политики Ка</w:t>
      </w:r>
      <w:r w:rsidR="001F6FB4">
        <w:t xml:space="preserve">рачаево-Черкесской Республики в </w:t>
      </w:r>
      <w:r>
        <w:t>сфере экономического развития являются:</w:t>
      </w:r>
    </w:p>
    <w:p w:rsidR="00FE5DA0" w:rsidRDefault="00FE5DA0" w:rsidP="0055684A">
      <w:pPr>
        <w:numPr>
          <w:ilvl w:val="0"/>
          <w:numId w:val="9"/>
        </w:numPr>
        <w:spacing w:after="0" w:line="360" w:lineRule="auto"/>
        <w:ind w:left="0" w:firstLine="426"/>
        <w:jc w:val="both"/>
      </w:pPr>
      <w:r>
        <w:t>создание необходимых условий для повышения инвестиционной привлекательности субъекта;</w:t>
      </w:r>
    </w:p>
    <w:p w:rsidR="00FE5DA0" w:rsidRDefault="00FE5DA0" w:rsidP="0055684A">
      <w:pPr>
        <w:numPr>
          <w:ilvl w:val="0"/>
          <w:numId w:val="9"/>
        </w:numPr>
        <w:spacing w:after="0" w:line="360" w:lineRule="auto"/>
        <w:ind w:left="142" w:firstLine="284"/>
        <w:jc w:val="both"/>
      </w:pPr>
      <w:r>
        <w:t>развитие малого и среднего предпринимательства.</w:t>
      </w:r>
    </w:p>
    <w:p w:rsidR="00FE5DA0" w:rsidRDefault="00FE5DA0" w:rsidP="00FE5DA0">
      <w:pPr>
        <w:spacing w:after="0" w:line="360" w:lineRule="auto"/>
        <w:ind w:firstLine="567"/>
      </w:pPr>
      <w:r>
        <w:t xml:space="preserve">В паспорте </w:t>
      </w:r>
      <w:r w:rsidRPr="008D137A">
        <w:t xml:space="preserve">подпрограммы </w:t>
      </w:r>
      <w:r w:rsidRPr="006136C7">
        <w:rPr>
          <w:szCs w:val="24"/>
        </w:rPr>
        <w:t>«</w:t>
      </w:r>
      <w:r w:rsidRPr="008D137A">
        <w:t>Социально-экономическое развитие</w:t>
      </w:r>
      <w:r>
        <w:t xml:space="preserve"> </w:t>
      </w:r>
      <w:r w:rsidRPr="008D137A">
        <w:t>Карачаево-Черкесской Республики на 2016-2025 годы</w:t>
      </w:r>
      <w:r w:rsidRPr="00FA5766">
        <w:rPr>
          <w:szCs w:val="24"/>
        </w:rPr>
        <w:t>»</w:t>
      </w:r>
      <w:r>
        <w:t xml:space="preserve">, входящем в состав государственной </w:t>
      </w:r>
      <w:r w:rsidR="00847723">
        <w:t xml:space="preserve">программы Российской Федерации </w:t>
      </w:r>
      <w:r>
        <w:t>«Развитие Северо-Кавказского федерального округа</w:t>
      </w:r>
      <w:r w:rsidRPr="00FA5766">
        <w:rPr>
          <w:szCs w:val="24"/>
        </w:rPr>
        <w:t>»</w:t>
      </w:r>
      <w:r>
        <w:rPr>
          <w:rStyle w:val="af5"/>
          <w:szCs w:val="24"/>
        </w:rPr>
        <w:footnoteReference w:id="4"/>
      </w:r>
      <w:r>
        <w:t xml:space="preserve"> на период до 2025 года, заявлено целью </w:t>
      </w:r>
      <w:r w:rsidRPr="003057B3">
        <w:t>увеличение объемов производства промышленной и сельскохозяйственной продукции Карачаево-Черкесской Республики, повышение качества туристского продукта, модернизация объектов коммунальной и инженерной инфраструктуры</w:t>
      </w:r>
      <w:r w:rsidRPr="009E6386">
        <w:rPr>
          <w:color w:val="E36C0A"/>
        </w:rPr>
        <w:t>.</w:t>
      </w:r>
      <w:r>
        <w:t xml:space="preserve"> </w:t>
      </w:r>
    </w:p>
    <w:p w:rsidR="00FE5DA0" w:rsidRDefault="00FE5DA0" w:rsidP="00FE5DA0">
      <w:pPr>
        <w:spacing w:after="0" w:line="360" w:lineRule="auto"/>
        <w:ind w:firstLine="567"/>
      </w:pPr>
      <w:r>
        <w:t>С учетом последних тенденций развития мировой и российской экономики, основная цель социально-экономического и стратегического развития Карачаево-Черкесской Республики представляется в принципиальном изменении делового, предпринимательского и инвестиционного климата в регионе в соответствии с мировыми тенденциями развития цифровой экономики и внедрения инноваций во все сферы деятельности и отрасли народного хозяйства региона.</w:t>
      </w:r>
    </w:p>
    <w:p w:rsidR="00FE5DA0" w:rsidRDefault="00FE5DA0" w:rsidP="00FE5DA0">
      <w:pPr>
        <w:spacing w:after="0" w:line="360" w:lineRule="auto"/>
        <w:ind w:firstLine="567"/>
        <w:rPr>
          <w:szCs w:val="24"/>
        </w:rPr>
      </w:pPr>
      <w:r>
        <w:t>В этой связи о</w:t>
      </w:r>
      <w:r w:rsidRPr="00C80536">
        <w:rPr>
          <w:szCs w:val="24"/>
        </w:rPr>
        <w:t xml:space="preserve">сновными задачами Правительства Карачаево-Черкесской Республики в социально-экономической сфере </w:t>
      </w:r>
      <w:r>
        <w:rPr>
          <w:szCs w:val="24"/>
        </w:rPr>
        <w:t>должны стать:</w:t>
      </w:r>
    </w:p>
    <w:p w:rsidR="00FE5DA0" w:rsidRPr="00C80536" w:rsidRDefault="00FE5DA0" w:rsidP="00FE5DA0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1.</w:t>
      </w:r>
      <w:r w:rsidRPr="00C80536">
        <w:rPr>
          <w:szCs w:val="24"/>
        </w:rPr>
        <w:t xml:space="preserve"> </w:t>
      </w:r>
      <w:r>
        <w:rPr>
          <w:szCs w:val="24"/>
        </w:rPr>
        <w:t>Разработка мер для у</w:t>
      </w:r>
      <w:r w:rsidRPr="00C80536">
        <w:rPr>
          <w:szCs w:val="24"/>
        </w:rPr>
        <w:t>креплени</w:t>
      </w:r>
      <w:r>
        <w:rPr>
          <w:szCs w:val="24"/>
        </w:rPr>
        <w:t>я</w:t>
      </w:r>
      <w:r w:rsidRPr="00C80536">
        <w:rPr>
          <w:szCs w:val="24"/>
        </w:rPr>
        <w:t xml:space="preserve"> экономической стабильности</w:t>
      </w:r>
      <w:r>
        <w:rPr>
          <w:szCs w:val="24"/>
        </w:rPr>
        <w:t xml:space="preserve"> региона</w:t>
      </w:r>
      <w:r w:rsidRPr="00C80536">
        <w:rPr>
          <w:szCs w:val="24"/>
        </w:rPr>
        <w:t xml:space="preserve"> и обеспечени</w:t>
      </w:r>
      <w:r>
        <w:rPr>
          <w:szCs w:val="24"/>
        </w:rPr>
        <w:t>я благоприятных</w:t>
      </w:r>
      <w:r w:rsidRPr="00C80536">
        <w:rPr>
          <w:szCs w:val="24"/>
        </w:rPr>
        <w:t xml:space="preserve"> условий для развития реаль</w:t>
      </w:r>
      <w:r>
        <w:rPr>
          <w:szCs w:val="24"/>
        </w:rPr>
        <w:t>ного сектора экономики с целью создания новых</w:t>
      </w:r>
      <w:r w:rsidRPr="00C80536">
        <w:rPr>
          <w:szCs w:val="24"/>
        </w:rPr>
        <w:t xml:space="preserve"> рабочих мест. </w:t>
      </w:r>
      <w:r>
        <w:rPr>
          <w:szCs w:val="24"/>
        </w:rPr>
        <w:t>Для этого</w:t>
      </w:r>
      <w:r w:rsidRPr="00C80536">
        <w:rPr>
          <w:szCs w:val="24"/>
        </w:rPr>
        <w:t xml:space="preserve"> необходимо добиваться увеличения валового </w:t>
      </w:r>
      <w:r w:rsidRPr="00C80536">
        <w:rPr>
          <w:szCs w:val="24"/>
        </w:rPr>
        <w:lastRenderedPageBreak/>
        <w:t xml:space="preserve">регионального продукта, объем которого на </w:t>
      </w:r>
      <w:r>
        <w:rPr>
          <w:szCs w:val="24"/>
        </w:rPr>
        <w:t>01.01.2018 года</w:t>
      </w:r>
      <w:r w:rsidRPr="00C80536">
        <w:rPr>
          <w:szCs w:val="24"/>
        </w:rPr>
        <w:t xml:space="preserve"> составляет 74,6 млрд</w:t>
      </w:r>
      <w:r>
        <w:rPr>
          <w:szCs w:val="24"/>
        </w:rPr>
        <w:t>.</w:t>
      </w:r>
      <w:r w:rsidRPr="00C80536">
        <w:rPr>
          <w:szCs w:val="24"/>
        </w:rPr>
        <w:t xml:space="preserve"> рублей до 100 млрд. рублей в 2024 году, в соответствии с целями, представленными в Послании Президента России</w:t>
      </w:r>
      <w:r>
        <w:rPr>
          <w:rStyle w:val="af5"/>
          <w:szCs w:val="24"/>
        </w:rPr>
        <w:footnoteReference w:id="5"/>
      </w:r>
      <w:r w:rsidRPr="00C80536">
        <w:rPr>
          <w:szCs w:val="24"/>
        </w:rPr>
        <w:t>.</w:t>
      </w:r>
    </w:p>
    <w:p w:rsidR="00FE5DA0" w:rsidRDefault="00FE5DA0" w:rsidP="00847723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Программы модернизации и технического перевооружения промышленных предприятий должны разрабатываться с учетом положений Программы Национальной технологической инициативы, практик ведущих научно-исследовательских центров Российской Федерации и ориентироваться на </w:t>
      </w:r>
      <w:r>
        <w:t xml:space="preserve">новые глобальные высокотехнологичные рынки, борьба за лидерство на которых состоится на горизонте ближайших 20 лет в процессе </w:t>
      </w:r>
      <w:proofErr w:type="spellStart"/>
      <w:r>
        <w:t>цифровизации</w:t>
      </w:r>
      <w:proofErr w:type="spellEnd"/>
      <w:r>
        <w:t xml:space="preserve"> мировой экономики.</w:t>
      </w:r>
      <w:r>
        <w:rPr>
          <w:szCs w:val="24"/>
        </w:rPr>
        <w:t xml:space="preserve"> </w:t>
      </w:r>
    </w:p>
    <w:p w:rsidR="00FE5DA0" w:rsidRDefault="00FE5DA0" w:rsidP="00847723">
      <w:pPr>
        <w:pStyle w:val="a6"/>
        <w:spacing w:before="0" w:beforeAutospacing="0" w:after="0" w:afterAutospacing="0" w:line="360" w:lineRule="auto"/>
        <w:ind w:firstLine="567"/>
        <w:jc w:val="both"/>
      </w:pPr>
      <w:r>
        <w:t>Стратегические интересы региона в сфере промышленности изложены в государственной программе «Развитие промышленности, торговли, энергетики, транспорта, связи и информационного общества Карачаево-Черкесской Республики»</w:t>
      </w:r>
      <w:r>
        <w:rPr>
          <w:rStyle w:val="af5"/>
        </w:rPr>
        <w:footnoteReference w:id="6"/>
      </w:r>
      <w:r>
        <w:t xml:space="preserve">, утвержденной Постановлением Правительства Карачаево-Черкесской Республики № 12 от 22 января 2019 года. </w:t>
      </w:r>
    </w:p>
    <w:p w:rsidR="00FE5DA0" w:rsidRPr="00B93539" w:rsidRDefault="00FE5DA0" w:rsidP="00847723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Перспективы социально-экономического развития региона связаны со </w:t>
      </w:r>
      <w:proofErr w:type="gramStart"/>
      <w:r>
        <w:rPr>
          <w:szCs w:val="24"/>
        </w:rPr>
        <w:t>следующими</w:t>
      </w:r>
      <w:proofErr w:type="gramEnd"/>
      <w:r>
        <w:rPr>
          <w:szCs w:val="24"/>
        </w:rPr>
        <w:t xml:space="preserve"> аспектом:</w:t>
      </w:r>
    </w:p>
    <w:p w:rsidR="00FE5DA0" w:rsidRPr="003E15D1" w:rsidRDefault="00FE5DA0" w:rsidP="00847723">
      <w:pPr>
        <w:spacing w:after="0" w:line="360" w:lineRule="auto"/>
        <w:ind w:firstLine="567"/>
        <w:jc w:val="both"/>
        <w:rPr>
          <w:szCs w:val="24"/>
        </w:rPr>
      </w:pPr>
      <w:r w:rsidRPr="003E15D1">
        <w:rPr>
          <w:szCs w:val="24"/>
        </w:rPr>
        <w:t xml:space="preserve">Совершенствование рынка образовательных услуг в регионе путем реализации программ развития вузов, которые должны быть ориентированы на повышение гибкости и </w:t>
      </w:r>
      <w:proofErr w:type="spellStart"/>
      <w:r w:rsidRPr="003E15D1">
        <w:rPr>
          <w:szCs w:val="24"/>
        </w:rPr>
        <w:t>адаптированности</w:t>
      </w:r>
      <w:proofErr w:type="spellEnd"/>
      <w:r w:rsidRPr="003E15D1">
        <w:rPr>
          <w:szCs w:val="24"/>
        </w:rPr>
        <w:t xml:space="preserve"> системы профессионального образования к требованиям и прогнозным значениям рынка труда по сферам занятости и профессионально-квалификационным категориям. </w:t>
      </w:r>
      <w:proofErr w:type="gramStart"/>
      <w:r w:rsidRPr="003E15D1">
        <w:rPr>
          <w:szCs w:val="24"/>
        </w:rPr>
        <w:t>В частности, разработка и реализация образовательных программ высшего и дополнительного образования по принципиально важным укрупненным группам (09.00.00 «Информатика и вычислительная техника»; 08.00.00 «Техника и технологии строительства»; 11.00.00 «Электроника, радиотехника и системы связи»;13.00.00 «Электро- и теплоэнергетика»; 15.00.00 «Машиностроение»; 23.00.00 «Техника и технологии наземного транспорта»; 22.00.00 «Технологии материалов»; 43.00.00 «Сервис и туризм»;</w:t>
      </w:r>
      <w:proofErr w:type="gramEnd"/>
      <w:r w:rsidRPr="003E15D1">
        <w:rPr>
          <w:szCs w:val="24"/>
        </w:rPr>
        <w:t xml:space="preserve"> </w:t>
      </w:r>
      <w:proofErr w:type="gramStart"/>
      <w:r w:rsidRPr="003E15D1">
        <w:rPr>
          <w:szCs w:val="24"/>
        </w:rPr>
        <w:t>44.00.00 «Образование и педагогические науки»).</w:t>
      </w:r>
      <w:proofErr w:type="gramEnd"/>
    </w:p>
    <w:p w:rsidR="00455FCC" w:rsidRPr="00D738C0" w:rsidRDefault="00455FCC" w:rsidP="00847723">
      <w:pPr>
        <w:spacing w:after="0" w:line="360" w:lineRule="auto"/>
        <w:ind w:firstLine="709"/>
        <w:jc w:val="both"/>
        <w:rPr>
          <w:szCs w:val="24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1.1.2. </w:t>
      </w:r>
      <w:r w:rsidR="0050071D" w:rsidRPr="00D738C0">
        <w:rPr>
          <w:rFonts w:eastAsia="Times New Roman"/>
          <w:color w:val="000000" w:themeColor="text1"/>
          <w:szCs w:val="24"/>
          <w:lang w:eastAsia="ru-RU"/>
        </w:rPr>
        <w:t>Министерством науки и высшего образова</w:t>
      </w:r>
      <w:r w:rsidR="0002649E" w:rsidRPr="00D738C0">
        <w:rPr>
          <w:rFonts w:eastAsia="Times New Roman"/>
          <w:color w:val="000000" w:themeColor="text1"/>
          <w:szCs w:val="24"/>
          <w:lang w:eastAsia="ru-RU"/>
        </w:rPr>
        <w:t>ния Российской Федерации об</w:t>
      </w:r>
      <w:r w:rsidR="00512439">
        <w:rPr>
          <w:rFonts w:eastAsia="Times New Roman"/>
          <w:color w:val="000000" w:themeColor="text1"/>
          <w:szCs w:val="24"/>
          <w:lang w:eastAsia="ru-RU"/>
        </w:rPr>
        <w:t>означены</w:t>
      </w:r>
      <w:r w:rsidR="0002649E" w:rsidRPr="00D738C0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DF6FBE" w:rsidRPr="00D738C0">
        <w:rPr>
          <w:rFonts w:eastAsia="Times New Roman"/>
          <w:color w:val="000000" w:themeColor="text1"/>
          <w:szCs w:val="24"/>
          <w:lang w:eastAsia="ru-RU"/>
        </w:rPr>
        <w:t xml:space="preserve">цели и задачи </w:t>
      </w:r>
      <w:r w:rsidR="00DF6FBE" w:rsidRPr="00D738C0">
        <w:rPr>
          <w:color w:val="000000"/>
          <w:szCs w:val="24"/>
        </w:rPr>
        <w:t>Программ</w:t>
      </w:r>
      <w:r w:rsidR="00512439">
        <w:rPr>
          <w:color w:val="000000"/>
          <w:szCs w:val="24"/>
        </w:rPr>
        <w:t>ы</w:t>
      </w:r>
      <w:r w:rsidR="00DF6FBE" w:rsidRPr="00D738C0">
        <w:rPr>
          <w:color w:val="000000"/>
          <w:szCs w:val="24"/>
        </w:rPr>
        <w:t xml:space="preserve"> стратегического академического лидерства, а также предварительные критерии вхождения в эту Программу образовательных организаций</w:t>
      </w:r>
      <w:r w:rsidR="000570B8">
        <w:rPr>
          <w:color w:val="000000"/>
          <w:szCs w:val="24"/>
        </w:rPr>
        <w:t xml:space="preserve"> высшего образования</w:t>
      </w:r>
      <w:r w:rsidR="00DF6FBE" w:rsidRPr="00D738C0">
        <w:rPr>
          <w:color w:val="000000"/>
          <w:szCs w:val="24"/>
        </w:rPr>
        <w:t xml:space="preserve">. В соответствии с опубликованной на сайте </w:t>
      </w:r>
      <w:proofErr w:type="spellStart"/>
      <w:r w:rsidR="00DF6FBE" w:rsidRPr="00D738C0">
        <w:rPr>
          <w:color w:val="000000"/>
          <w:szCs w:val="24"/>
        </w:rPr>
        <w:t>Минобрнауки</w:t>
      </w:r>
      <w:proofErr w:type="spellEnd"/>
      <w:r w:rsidR="00DF6FBE" w:rsidRPr="00D738C0">
        <w:rPr>
          <w:color w:val="000000"/>
          <w:szCs w:val="24"/>
        </w:rPr>
        <w:t xml:space="preserve"> России </w:t>
      </w:r>
      <w:r w:rsidR="00DF6FBE" w:rsidRPr="00D738C0">
        <w:rPr>
          <w:color w:val="000000"/>
          <w:szCs w:val="24"/>
        </w:rPr>
        <w:lastRenderedPageBreak/>
        <w:t>информаци</w:t>
      </w:r>
      <w:r w:rsidR="00BC709F">
        <w:rPr>
          <w:color w:val="000000"/>
          <w:szCs w:val="24"/>
        </w:rPr>
        <w:t>ей</w:t>
      </w:r>
      <w:r w:rsidR="00015513" w:rsidRPr="00D738C0">
        <w:rPr>
          <w:color w:val="000000"/>
          <w:szCs w:val="24"/>
        </w:rPr>
        <w:t xml:space="preserve">, участниками Программы могут стать </w:t>
      </w:r>
      <w:r w:rsidR="00EF113F">
        <w:rPr>
          <w:color w:val="000000"/>
          <w:szCs w:val="24"/>
        </w:rPr>
        <w:t>университеты</w:t>
      </w:r>
      <w:r w:rsidR="00015513" w:rsidRPr="00D738C0">
        <w:rPr>
          <w:color w:val="000000"/>
          <w:szCs w:val="24"/>
        </w:rPr>
        <w:t xml:space="preserve"> различной организационно-правовой формы и различной ведомственной принадлежности. До 2024 года планируется отобрать не менее 100 университетов. Базовым принципом реализации Программы и условием участия в ней является формирование консорциума с другими университетами, научными</w:t>
      </w:r>
      <w:r w:rsidR="00015513" w:rsidRPr="00D738C0">
        <w:rPr>
          <w:szCs w:val="24"/>
        </w:rPr>
        <w:t xml:space="preserve"> организациями, а также с предприятиями реального сектора экономики. </w:t>
      </w:r>
      <w:proofErr w:type="gramStart"/>
      <w:r w:rsidR="00015513" w:rsidRPr="00D738C0">
        <w:rPr>
          <w:szCs w:val="24"/>
        </w:rPr>
        <w:t>В рамках конкурса на участие в Программе и получение грантов в форме субсидий из федерального бюджета на оказание государственной поддержки образовательным организациям высшего образования в целях научного, технологического и кадрового обеспечения экономики и социальной сферы, повышения глобальной конкурентоспособности системы высшего образования и регионального развития</w:t>
      </w:r>
      <w:r w:rsidR="006151BC" w:rsidRPr="00D738C0">
        <w:rPr>
          <w:szCs w:val="24"/>
        </w:rPr>
        <w:t xml:space="preserve"> будет проводиться оценка долгосрочной стратегии развития консорциума, деятельности управляющих органов консорциума, реализации сетевых образовательных программ и</w:t>
      </w:r>
      <w:proofErr w:type="gramEnd"/>
      <w:r w:rsidR="006151BC" w:rsidRPr="00D738C0">
        <w:rPr>
          <w:szCs w:val="24"/>
        </w:rPr>
        <w:t xml:space="preserve"> научных проектов, внедрения единых инфраструктурных решений и других параметров взаимодействия членов консорциума. Предполагается отбор участников Программы в несколько этапов. </w:t>
      </w:r>
    </w:p>
    <w:p w:rsidR="006151BC" w:rsidRPr="00D738C0" w:rsidRDefault="006151BC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>Для участия в 1-ом этапе конкурса университет должен подтвердить соответствие одному из блоков входных критериев:</w:t>
      </w:r>
    </w:p>
    <w:p w:rsidR="006151BC" w:rsidRPr="00D738C0" w:rsidRDefault="006151BC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="00BF4829">
        <w:rPr>
          <w:rFonts w:eastAsia="Times New Roman"/>
          <w:color w:val="000000" w:themeColor="text1"/>
          <w:szCs w:val="24"/>
          <w:lang w:eastAsia="ru-RU"/>
        </w:rPr>
        <w:t>п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озиции в международных рейтингах (начиная с 2018 года вуз не менее одного раза вошел в топ-500 не менее чем одного общего рейтинга </w:t>
      </w:r>
      <w:r w:rsidRPr="00D738C0">
        <w:rPr>
          <w:rFonts w:eastAsia="Times New Roman"/>
          <w:color w:val="000000" w:themeColor="text1"/>
          <w:szCs w:val="24"/>
          <w:lang w:val="en-US" w:eastAsia="ru-RU"/>
        </w:rPr>
        <w:t>ARWU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, </w:t>
      </w:r>
      <w:r w:rsidRPr="00D738C0">
        <w:rPr>
          <w:rFonts w:eastAsia="Times New Roman"/>
          <w:color w:val="000000" w:themeColor="text1"/>
          <w:szCs w:val="24"/>
          <w:lang w:val="en-US" w:eastAsia="ru-RU"/>
        </w:rPr>
        <w:t>QS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, </w:t>
      </w:r>
      <w:r w:rsidRPr="00D738C0">
        <w:rPr>
          <w:rFonts w:eastAsia="Times New Roman"/>
          <w:color w:val="000000" w:themeColor="text1"/>
          <w:szCs w:val="24"/>
          <w:lang w:val="en-US" w:eastAsia="ru-RU"/>
        </w:rPr>
        <w:t>THE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gramStart"/>
      <w:r w:rsidRPr="00D738C0">
        <w:rPr>
          <w:rFonts w:eastAsia="Times New Roman"/>
          <w:color w:val="000000" w:themeColor="text1"/>
          <w:szCs w:val="24"/>
          <w:lang w:eastAsia="ru-RU"/>
        </w:rPr>
        <w:t>и(</w:t>
      </w:r>
      <w:proofErr w:type="gramEnd"/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или) в топ-100 не менее одного предметного (отраслевого) рейтинга </w:t>
      </w:r>
      <w:r w:rsidRPr="00D738C0">
        <w:rPr>
          <w:rFonts w:eastAsia="Times New Roman"/>
          <w:color w:val="000000" w:themeColor="text1"/>
          <w:szCs w:val="24"/>
          <w:lang w:val="en-US" w:eastAsia="ru-RU"/>
        </w:rPr>
        <w:t>ARWU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, </w:t>
      </w:r>
      <w:r w:rsidRPr="00D738C0">
        <w:rPr>
          <w:rFonts w:eastAsia="Times New Roman"/>
          <w:color w:val="000000" w:themeColor="text1"/>
          <w:szCs w:val="24"/>
          <w:lang w:val="en-US" w:eastAsia="ru-RU"/>
        </w:rPr>
        <w:t>QS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, </w:t>
      </w:r>
      <w:r w:rsidRPr="00D738C0">
        <w:rPr>
          <w:rFonts w:eastAsia="Times New Roman"/>
          <w:color w:val="000000" w:themeColor="text1"/>
          <w:szCs w:val="24"/>
          <w:lang w:val="en-US" w:eastAsia="ru-RU"/>
        </w:rPr>
        <w:t>THE</w:t>
      </w:r>
      <w:r w:rsidRPr="00D738C0">
        <w:rPr>
          <w:rFonts w:eastAsia="Times New Roman"/>
          <w:color w:val="000000" w:themeColor="text1"/>
          <w:szCs w:val="24"/>
          <w:lang w:eastAsia="ru-RU"/>
        </w:rPr>
        <w:t>);</w:t>
      </w:r>
    </w:p>
    <w:p w:rsidR="006151BC" w:rsidRPr="00D738C0" w:rsidRDefault="006151BC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>-</w:t>
      </w:r>
      <w:r w:rsidR="00311D47" w:rsidRPr="00D738C0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BF4829">
        <w:rPr>
          <w:rFonts w:eastAsia="Times New Roman"/>
          <w:color w:val="000000" w:themeColor="text1"/>
          <w:szCs w:val="24"/>
          <w:lang w:eastAsia="ru-RU"/>
        </w:rPr>
        <w:t>к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оличественные </w:t>
      </w:r>
      <w:r w:rsidR="00311D47" w:rsidRPr="00D738C0">
        <w:rPr>
          <w:rFonts w:eastAsia="Times New Roman"/>
          <w:color w:val="000000" w:themeColor="text1"/>
          <w:szCs w:val="24"/>
          <w:lang w:eastAsia="ru-RU"/>
        </w:rPr>
        <w:t>показатели работы вуза: численность студентов, обучающихся по очной форме обучения, составляет не менее 4 тыс. человек; совокупный объем доходов вуза из всех источников составляет не менее 1 млрд. рублей; удельный вес доходов вуза от научных исследований и опытно-конструкторских работ в общих доходах вуза составляет не менее 5%;</w:t>
      </w:r>
    </w:p>
    <w:p w:rsidR="00311D47" w:rsidRPr="00D738C0" w:rsidRDefault="00311D47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- </w:t>
      </w:r>
      <w:r w:rsidR="00BF4829">
        <w:rPr>
          <w:rFonts w:eastAsia="Times New Roman"/>
          <w:color w:val="000000" w:themeColor="text1"/>
          <w:szCs w:val="24"/>
          <w:lang w:eastAsia="ru-RU"/>
        </w:rPr>
        <w:t>н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аличие письма-поддержки Минкультуры России или </w:t>
      </w:r>
      <w:proofErr w:type="spellStart"/>
      <w:r w:rsidRPr="00D738C0">
        <w:rPr>
          <w:rFonts w:eastAsia="Times New Roman"/>
          <w:color w:val="000000" w:themeColor="text1"/>
          <w:szCs w:val="24"/>
          <w:lang w:eastAsia="ru-RU"/>
        </w:rPr>
        <w:t>Минобрнауки</w:t>
      </w:r>
      <w:proofErr w:type="spellEnd"/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России по участию в конкурсе для вузов, в которых не менее 60% студентов обучаются по направлениям подготовки и специальностям творческой направленности.</w:t>
      </w:r>
    </w:p>
    <w:p w:rsidR="00311D47" w:rsidRPr="00D738C0" w:rsidRDefault="00311D47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>Кроме того, вузы, не в полной мере отвечающие первым д</w:t>
      </w:r>
      <w:r w:rsidR="002374B1" w:rsidRPr="00D738C0">
        <w:rPr>
          <w:rFonts w:eastAsia="Times New Roman"/>
          <w:color w:val="000000" w:themeColor="text1"/>
          <w:szCs w:val="24"/>
          <w:lang w:eastAsia="ru-RU"/>
        </w:rPr>
        <w:t>в</w:t>
      </w:r>
      <w:r w:rsidRPr="00D738C0">
        <w:rPr>
          <w:rFonts w:eastAsia="Times New Roman"/>
          <w:color w:val="000000" w:themeColor="text1"/>
          <w:szCs w:val="24"/>
          <w:lang w:eastAsia="ru-RU"/>
        </w:rPr>
        <w:t>ум группам критериев, имеют шанс стать кандидатами на участие в Прог</w:t>
      </w:r>
      <w:r w:rsidR="002374B1" w:rsidRPr="00D738C0">
        <w:rPr>
          <w:rFonts w:eastAsia="Times New Roman"/>
          <w:color w:val="000000" w:themeColor="text1"/>
          <w:szCs w:val="24"/>
          <w:lang w:eastAsia="ru-RU"/>
        </w:rPr>
        <w:t>р</w:t>
      </w:r>
      <w:r w:rsidRPr="00D738C0">
        <w:rPr>
          <w:rFonts w:eastAsia="Times New Roman"/>
          <w:color w:val="000000" w:themeColor="text1"/>
          <w:szCs w:val="24"/>
          <w:lang w:eastAsia="ru-RU"/>
        </w:rPr>
        <w:t>амме при наличии:</w:t>
      </w:r>
    </w:p>
    <w:p w:rsidR="00311D47" w:rsidRPr="00D738C0" w:rsidRDefault="00311D47" w:rsidP="005F4355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proofErr w:type="gramStart"/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- обязательства органа государственной власти субъекта Российской Федерации, на территории которого расположен университет, или федерального </w:t>
      </w:r>
      <w:r w:rsidR="005E2DD3" w:rsidRPr="00D738C0">
        <w:rPr>
          <w:rFonts w:eastAsia="Times New Roman"/>
          <w:color w:val="000000" w:themeColor="text1"/>
          <w:szCs w:val="24"/>
          <w:lang w:eastAsia="ru-RU"/>
        </w:rPr>
        <w:t xml:space="preserve">органа исполнительной власти, в ведении которого он находится, или организаций, включенных в перечень системообразующих организаций российской экономики, осуществлять финансовую поддержку реализации вузом программы развития в объеме не менее размера базовой </w:t>
      </w:r>
      <w:r w:rsidR="005E2DD3" w:rsidRPr="00D738C0">
        <w:rPr>
          <w:rFonts w:eastAsia="Times New Roman"/>
          <w:color w:val="000000" w:themeColor="text1"/>
          <w:szCs w:val="24"/>
          <w:lang w:eastAsia="ru-RU"/>
        </w:rPr>
        <w:lastRenderedPageBreak/>
        <w:t>части гранта</w:t>
      </w:r>
      <w:r w:rsidR="005F4355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5E2DD3" w:rsidRPr="00D738C0">
        <w:rPr>
          <w:rFonts w:eastAsia="Times New Roman"/>
          <w:color w:val="000000" w:themeColor="text1"/>
          <w:szCs w:val="24"/>
          <w:lang w:eastAsia="ru-RU"/>
        </w:rPr>
        <w:t>или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5E2DD3" w:rsidRPr="00D738C0">
        <w:rPr>
          <w:rFonts w:eastAsia="Times New Roman"/>
          <w:color w:val="000000" w:themeColor="text1"/>
          <w:szCs w:val="24"/>
          <w:lang w:eastAsia="ru-RU"/>
        </w:rPr>
        <w:t>обязательства вуза по реорганизации в форме слияния или присоединения с другими вузами и</w:t>
      </w:r>
      <w:proofErr w:type="gramEnd"/>
      <w:r w:rsidR="005E2DD3" w:rsidRPr="00D738C0">
        <w:rPr>
          <w:rFonts w:eastAsia="Times New Roman"/>
          <w:color w:val="000000" w:themeColor="text1"/>
          <w:szCs w:val="24"/>
          <w:lang w:eastAsia="ru-RU"/>
        </w:rPr>
        <w:t xml:space="preserve"> (или) научными организациями не позднее чем через два года после конкурсного отбора на участие в Программе.</w:t>
      </w:r>
    </w:p>
    <w:p w:rsidR="005E2DD3" w:rsidRPr="00D738C0" w:rsidRDefault="005E2DD3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На 2-ом этапе отбора университеты при желании смогут побороться за предоставление специальной части гранта – на развитие национального исследовательского университета или национального опорного университета. Решение о предоставлении специальной части гранта будет приниматься специальными Советами, созданными </w:t>
      </w:r>
      <w:proofErr w:type="spellStart"/>
      <w:r w:rsidR="002374B1" w:rsidRPr="00D738C0">
        <w:rPr>
          <w:rFonts w:eastAsia="Times New Roman"/>
          <w:color w:val="000000" w:themeColor="text1"/>
          <w:szCs w:val="24"/>
          <w:lang w:eastAsia="ru-RU"/>
        </w:rPr>
        <w:t>Минобрнауки</w:t>
      </w:r>
      <w:proofErr w:type="spellEnd"/>
      <w:r w:rsidR="002374B1" w:rsidRPr="00D738C0">
        <w:rPr>
          <w:rFonts w:eastAsia="Times New Roman"/>
          <w:color w:val="000000" w:themeColor="text1"/>
          <w:szCs w:val="24"/>
          <w:lang w:eastAsia="ru-RU"/>
        </w:rPr>
        <w:t xml:space="preserve"> России.</w:t>
      </w:r>
    </w:p>
    <w:p w:rsidR="002374B1" w:rsidRPr="00D738C0" w:rsidRDefault="002374B1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>Программа также предполагает выделение отдельной группы вузов-кандидатов на участие. Это университеты, которые не входят в глобальные университетские рейтинги и не отвечают входным критериям, но имеют потенциал развития и финансовую поддержку для реализации своей программы развития от федеральных или региональных органов государственной власти, государственных компаний. В дальнейшем при соответствии условиям входа в Программу</w:t>
      </w:r>
      <w:r w:rsidR="00917980">
        <w:rPr>
          <w:rFonts w:eastAsia="Times New Roman"/>
          <w:color w:val="000000" w:themeColor="text1"/>
          <w:szCs w:val="24"/>
          <w:lang w:eastAsia="ru-RU"/>
        </w:rPr>
        <w:t>,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они смогут стать её участниками.</w:t>
      </w:r>
    </w:p>
    <w:p w:rsidR="002374B1" w:rsidRPr="00D738C0" w:rsidRDefault="002374B1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ФГБОУ </w:t>
      </w:r>
      <w:proofErr w:type="gramStart"/>
      <w:r w:rsidRPr="00D738C0">
        <w:rPr>
          <w:rFonts w:eastAsia="Times New Roman"/>
          <w:color w:val="000000" w:themeColor="text1"/>
          <w:szCs w:val="24"/>
          <w:lang w:eastAsia="ru-RU"/>
        </w:rPr>
        <w:t>ВО</w:t>
      </w:r>
      <w:proofErr w:type="gramEnd"/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«</w:t>
      </w:r>
      <w:proofErr w:type="gramStart"/>
      <w:r w:rsidR="006D33E2">
        <w:rPr>
          <w:rFonts w:eastAsia="Times New Roman"/>
          <w:color w:val="000000" w:themeColor="text1"/>
          <w:szCs w:val="24"/>
          <w:lang w:eastAsia="ru-RU"/>
        </w:rPr>
        <w:t>Северо-Кавказская</w:t>
      </w:r>
      <w:proofErr w:type="gramEnd"/>
      <w:r w:rsidR="006D33E2">
        <w:rPr>
          <w:rFonts w:eastAsia="Times New Roman"/>
          <w:color w:val="000000" w:themeColor="text1"/>
          <w:szCs w:val="24"/>
          <w:lang w:eastAsia="ru-RU"/>
        </w:rPr>
        <w:t xml:space="preserve"> государственная академия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» </w:t>
      </w:r>
      <w:r w:rsidR="000857EB">
        <w:rPr>
          <w:rFonts w:eastAsia="Times New Roman"/>
          <w:color w:val="000000" w:themeColor="text1"/>
          <w:szCs w:val="24"/>
          <w:lang w:eastAsia="ru-RU"/>
        </w:rPr>
        <w:t>пока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не отвечает ни одной группе критериев входа в Программу</w:t>
      </w:r>
      <w:r w:rsidR="00CB37BB">
        <w:rPr>
          <w:rFonts w:eastAsia="Times New Roman"/>
          <w:color w:val="000000" w:themeColor="text1"/>
          <w:szCs w:val="24"/>
          <w:lang w:eastAsia="ru-RU"/>
        </w:rPr>
        <w:t xml:space="preserve">, а </w:t>
      </w:r>
      <w:r w:rsidRPr="00185E54">
        <w:rPr>
          <w:rFonts w:eastAsia="Times New Roman"/>
          <w:color w:val="000000" w:themeColor="text1"/>
          <w:szCs w:val="24"/>
          <w:lang w:eastAsia="ru-RU"/>
        </w:rPr>
        <w:t xml:space="preserve">также </w:t>
      </w:r>
      <w:r w:rsidR="00CB37BB" w:rsidRPr="00185E54">
        <w:rPr>
          <w:rFonts w:eastAsia="Times New Roman"/>
          <w:color w:val="000000" w:themeColor="text1"/>
          <w:szCs w:val="24"/>
          <w:lang w:eastAsia="ru-RU"/>
        </w:rPr>
        <w:t>критериям отбора</w:t>
      </w:r>
      <w:r w:rsidRPr="00185E54">
        <w:rPr>
          <w:rFonts w:eastAsia="Times New Roman"/>
          <w:color w:val="000000" w:themeColor="text1"/>
          <w:szCs w:val="24"/>
          <w:lang w:eastAsia="ru-RU"/>
        </w:rPr>
        <w:t xml:space="preserve"> кандидато</w:t>
      </w:r>
      <w:r w:rsidR="00CB37BB" w:rsidRPr="00185E54">
        <w:rPr>
          <w:rFonts w:eastAsia="Times New Roman"/>
          <w:color w:val="000000" w:themeColor="text1"/>
          <w:szCs w:val="24"/>
          <w:lang w:eastAsia="ru-RU"/>
        </w:rPr>
        <w:t>в</w:t>
      </w:r>
      <w:r w:rsidRPr="00185E54">
        <w:rPr>
          <w:rFonts w:eastAsia="Times New Roman"/>
          <w:color w:val="000000" w:themeColor="text1"/>
          <w:szCs w:val="24"/>
          <w:lang w:eastAsia="ru-RU"/>
        </w:rPr>
        <w:t xml:space="preserve"> на участие</w:t>
      </w:r>
      <w:r w:rsidR="00CB37BB" w:rsidRPr="00185E54">
        <w:rPr>
          <w:rFonts w:eastAsia="Times New Roman"/>
          <w:color w:val="000000" w:themeColor="text1"/>
          <w:szCs w:val="24"/>
          <w:lang w:eastAsia="ru-RU"/>
        </w:rPr>
        <w:t xml:space="preserve"> в Программе</w:t>
      </w:r>
      <w:r w:rsidRPr="00185E54">
        <w:rPr>
          <w:rFonts w:eastAsia="Times New Roman"/>
          <w:color w:val="000000" w:themeColor="text1"/>
          <w:szCs w:val="24"/>
          <w:lang w:eastAsia="ru-RU"/>
        </w:rPr>
        <w:t>.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Однако, </w:t>
      </w:r>
      <w:proofErr w:type="spellStart"/>
      <w:r w:rsidRPr="00D738C0">
        <w:rPr>
          <w:rFonts w:eastAsia="Times New Roman"/>
          <w:color w:val="000000" w:themeColor="text1"/>
          <w:szCs w:val="24"/>
          <w:lang w:eastAsia="ru-RU"/>
        </w:rPr>
        <w:t>таргетированный</w:t>
      </w:r>
      <w:proofErr w:type="spellEnd"/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подход </w:t>
      </w:r>
      <w:proofErr w:type="spellStart"/>
      <w:r w:rsidRPr="00D738C0">
        <w:rPr>
          <w:rFonts w:eastAsia="Times New Roman"/>
          <w:color w:val="000000" w:themeColor="text1"/>
          <w:szCs w:val="24"/>
          <w:lang w:eastAsia="ru-RU"/>
        </w:rPr>
        <w:t>Минобрнауки</w:t>
      </w:r>
      <w:proofErr w:type="spellEnd"/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России к формированию когорты вузов-участников Программы</w:t>
      </w:r>
      <w:r w:rsidR="000E5860" w:rsidRPr="00D738C0">
        <w:rPr>
          <w:rFonts w:eastAsia="Times New Roman"/>
          <w:color w:val="000000" w:themeColor="text1"/>
          <w:szCs w:val="24"/>
          <w:lang w:eastAsia="ru-RU"/>
        </w:rPr>
        <w:t xml:space="preserve">, заключающийся в </w:t>
      </w:r>
      <w:r w:rsidR="000E5860" w:rsidRPr="00D738C0">
        <w:rPr>
          <w:color w:val="000000"/>
          <w:szCs w:val="24"/>
        </w:rPr>
        <w:t>кооперации усилий региональных вузов с другими университетами (прежде всего, ведущими, определяющими образовательную повестку страны), научными</w:t>
      </w:r>
      <w:r w:rsidR="000E5860" w:rsidRPr="00D738C0">
        <w:rPr>
          <w:szCs w:val="24"/>
        </w:rPr>
        <w:t xml:space="preserve"> организациями, а также с предприятиями реального сектора экономики,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должен найти отражение в Программе развития </w:t>
      </w:r>
      <w:r w:rsidR="00C52F78">
        <w:rPr>
          <w:rFonts w:eastAsia="Times New Roman"/>
          <w:color w:val="000000" w:themeColor="text1"/>
          <w:szCs w:val="24"/>
          <w:lang w:eastAsia="ru-RU"/>
        </w:rPr>
        <w:t>СКГА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на 2020 – 2022 годы</w:t>
      </w:r>
      <w:r w:rsidR="000E5860" w:rsidRPr="00D738C0">
        <w:rPr>
          <w:rFonts w:eastAsia="Times New Roman"/>
          <w:color w:val="000000" w:themeColor="text1"/>
          <w:szCs w:val="24"/>
          <w:lang w:eastAsia="ru-RU"/>
        </w:rPr>
        <w:t>.</w:t>
      </w:r>
    </w:p>
    <w:p w:rsidR="00185E54" w:rsidRPr="00D738C0" w:rsidRDefault="00675D92" w:rsidP="00F666ED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>1.1.3. Еще одним внешним фактором, влияющим на деятельность образовательных организаций высшего образования, и отсутствовавшим в момент разработки Программы</w:t>
      </w:r>
      <w:r w:rsidR="005262A9" w:rsidRPr="00D738C0">
        <w:rPr>
          <w:rFonts w:eastAsia="Times New Roman"/>
          <w:color w:val="000000" w:themeColor="text1"/>
          <w:szCs w:val="24"/>
          <w:lang w:eastAsia="ru-RU"/>
        </w:rPr>
        <w:t xml:space="preserve"> развития, является разразившаяся во всем мире пандемия </w:t>
      </w:r>
      <w:proofErr w:type="spellStart"/>
      <w:r w:rsidR="005262A9" w:rsidRPr="00D738C0">
        <w:rPr>
          <w:rFonts w:eastAsia="Times New Roman"/>
          <w:color w:val="000000" w:themeColor="text1"/>
          <w:szCs w:val="24"/>
          <w:lang w:eastAsia="ru-RU"/>
        </w:rPr>
        <w:t>коронавирусной</w:t>
      </w:r>
      <w:proofErr w:type="spellEnd"/>
      <w:r w:rsidR="005262A9" w:rsidRPr="00D738C0">
        <w:rPr>
          <w:rFonts w:eastAsia="Times New Roman"/>
          <w:color w:val="000000" w:themeColor="text1"/>
          <w:szCs w:val="24"/>
          <w:lang w:eastAsia="ru-RU"/>
        </w:rPr>
        <w:t xml:space="preserve"> инфекции </w:t>
      </w:r>
      <w:r w:rsidR="005262A9" w:rsidRPr="00D738C0">
        <w:rPr>
          <w:rFonts w:eastAsia="Times New Roman"/>
          <w:color w:val="000000" w:themeColor="text1"/>
          <w:szCs w:val="24"/>
          <w:lang w:val="en-US" w:eastAsia="ru-RU"/>
        </w:rPr>
        <w:t>COVID</w:t>
      </w:r>
      <w:r w:rsidR="005262A9" w:rsidRPr="00D738C0">
        <w:rPr>
          <w:rFonts w:eastAsia="Times New Roman"/>
          <w:color w:val="000000" w:themeColor="text1"/>
          <w:szCs w:val="24"/>
          <w:lang w:eastAsia="ru-RU"/>
        </w:rPr>
        <w:t xml:space="preserve">-19, потребовавшая принятия </w:t>
      </w:r>
      <w:r w:rsidR="001340D7" w:rsidRPr="00D738C0">
        <w:rPr>
          <w:rFonts w:eastAsia="Times New Roman"/>
          <w:color w:val="000000" w:themeColor="text1"/>
          <w:szCs w:val="24"/>
          <w:lang w:eastAsia="ru-RU"/>
        </w:rPr>
        <w:t xml:space="preserve">повсеместно </w:t>
      </w:r>
      <w:r w:rsidR="005262A9" w:rsidRPr="00D738C0">
        <w:rPr>
          <w:rFonts w:eastAsia="Times New Roman"/>
          <w:color w:val="000000" w:themeColor="text1"/>
          <w:szCs w:val="24"/>
          <w:lang w:eastAsia="ru-RU"/>
        </w:rPr>
        <w:t>экстренны</w:t>
      </w:r>
      <w:r w:rsidR="001340D7" w:rsidRPr="00D738C0">
        <w:rPr>
          <w:rFonts w:eastAsia="Times New Roman"/>
          <w:color w:val="000000" w:themeColor="text1"/>
          <w:szCs w:val="24"/>
          <w:lang w:eastAsia="ru-RU"/>
        </w:rPr>
        <w:t>х</w:t>
      </w:r>
      <w:r w:rsidR="005262A9" w:rsidRPr="00D738C0">
        <w:rPr>
          <w:rFonts w:eastAsia="Times New Roman"/>
          <w:color w:val="000000" w:themeColor="text1"/>
          <w:szCs w:val="24"/>
          <w:lang w:eastAsia="ru-RU"/>
        </w:rPr>
        <w:t xml:space="preserve"> мер по предотвращению её распространения. Внезапно возникшая эпидемиологическая ситуация продемонстрировала, что организации и учреждения, чья деятельность характеризуется массовостью мероприятий </w:t>
      </w:r>
      <w:r w:rsidR="001340D7" w:rsidRPr="00D738C0">
        <w:rPr>
          <w:rFonts w:eastAsia="Times New Roman"/>
          <w:color w:val="000000" w:themeColor="text1"/>
          <w:szCs w:val="24"/>
          <w:lang w:eastAsia="ru-RU"/>
        </w:rPr>
        <w:t>(</w:t>
      </w:r>
      <w:r w:rsidR="005262A9" w:rsidRPr="00D738C0">
        <w:rPr>
          <w:rFonts w:eastAsia="Times New Roman"/>
          <w:color w:val="000000" w:themeColor="text1"/>
          <w:szCs w:val="24"/>
          <w:lang w:eastAsia="ru-RU"/>
        </w:rPr>
        <w:t>в первую очередь, образовательные организации</w:t>
      </w:r>
      <w:r w:rsidR="001340D7" w:rsidRPr="00D738C0">
        <w:rPr>
          <w:rFonts w:eastAsia="Times New Roman"/>
          <w:color w:val="000000" w:themeColor="text1"/>
          <w:szCs w:val="24"/>
          <w:lang w:eastAsia="ru-RU"/>
        </w:rPr>
        <w:t>)</w:t>
      </w:r>
      <w:r w:rsidR="005262A9" w:rsidRPr="00D738C0">
        <w:rPr>
          <w:rFonts w:eastAsia="Times New Roman"/>
          <w:color w:val="000000" w:themeColor="text1"/>
          <w:szCs w:val="24"/>
          <w:lang w:eastAsia="ru-RU"/>
        </w:rPr>
        <w:t xml:space="preserve">, должны быть готовы к трансформации очных мероприятий в формат онлайн проведения. Для этого образовательные организации должны располагать необходимым оборудованием, каналами связи, цифровым учебно-методическим обеспечением, </w:t>
      </w:r>
      <w:r w:rsidR="00386350" w:rsidRPr="00D738C0">
        <w:rPr>
          <w:rFonts w:eastAsia="Times New Roman"/>
          <w:color w:val="000000" w:themeColor="text1"/>
          <w:szCs w:val="24"/>
          <w:lang w:eastAsia="ru-RU"/>
        </w:rPr>
        <w:t xml:space="preserve">обученным профессорско-преподавательским составом </w:t>
      </w:r>
      <w:r w:rsidR="005262A9" w:rsidRPr="00D738C0">
        <w:rPr>
          <w:rFonts w:eastAsia="Times New Roman"/>
          <w:color w:val="000000" w:themeColor="text1"/>
          <w:szCs w:val="24"/>
          <w:lang w:eastAsia="ru-RU"/>
        </w:rPr>
        <w:t xml:space="preserve">и апробированными педагогическими технологиями онлайн-обучения. </w:t>
      </w:r>
      <w:r w:rsidR="00386350" w:rsidRPr="00D738C0">
        <w:rPr>
          <w:rFonts w:eastAsia="Times New Roman"/>
          <w:color w:val="000000" w:themeColor="text1"/>
          <w:szCs w:val="24"/>
          <w:lang w:eastAsia="ru-RU"/>
        </w:rPr>
        <w:t xml:space="preserve">Таким образом, в Программе развития должны быть </w:t>
      </w:r>
      <w:r w:rsidR="00386350" w:rsidRPr="00D738C0">
        <w:rPr>
          <w:rFonts w:eastAsia="Times New Roman"/>
          <w:color w:val="000000" w:themeColor="text1"/>
          <w:szCs w:val="24"/>
          <w:lang w:eastAsia="ru-RU"/>
        </w:rPr>
        <w:lastRenderedPageBreak/>
        <w:t>предусмотрены мероприятия, направленные на формирование в Университете системы образования</w:t>
      </w:r>
      <w:r w:rsidR="003A5175">
        <w:rPr>
          <w:rFonts w:eastAsia="Times New Roman"/>
          <w:color w:val="000000" w:themeColor="text1"/>
          <w:szCs w:val="24"/>
          <w:lang w:eastAsia="ru-RU"/>
        </w:rPr>
        <w:t xml:space="preserve"> с применением дистанционных технологий</w:t>
      </w:r>
      <w:r w:rsidR="00386350" w:rsidRPr="00D738C0">
        <w:rPr>
          <w:rFonts w:eastAsia="Times New Roman"/>
          <w:color w:val="000000" w:themeColor="text1"/>
          <w:szCs w:val="24"/>
          <w:lang w:eastAsia="ru-RU"/>
        </w:rPr>
        <w:t>.</w:t>
      </w:r>
    </w:p>
    <w:p w:rsidR="00903592" w:rsidRPr="00B756AA" w:rsidRDefault="00A54DF7" w:rsidP="00B756A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9181856"/>
      <w:r w:rsidRPr="00B756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1.2. </w:t>
      </w:r>
      <w:r w:rsidR="009169D0" w:rsidRPr="00B756AA">
        <w:rPr>
          <w:rFonts w:ascii="Times New Roman" w:hAnsi="Times New Roman" w:cs="Times New Roman"/>
          <w:b/>
          <w:color w:val="auto"/>
          <w:sz w:val="24"/>
          <w:szCs w:val="24"/>
        </w:rPr>
        <w:t>Внутренние факторы, требующие учета в Программе развития</w:t>
      </w:r>
      <w:bookmarkEnd w:id="4"/>
    </w:p>
    <w:p w:rsidR="00A10256" w:rsidRPr="00D738C0" w:rsidRDefault="00A10256" w:rsidP="00A7327B">
      <w:pPr>
        <w:spacing w:after="0" w:line="360" w:lineRule="auto"/>
        <w:ind w:firstLine="709"/>
        <w:jc w:val="both"/>
        <w:rPr>
          <w:szCs w:val="24"/>
        </w:rPr>
      </w:pPr>
    </w:p>
    <w:p w:rsidR="001C3DDF" w:rsidRPr="00D738C0" w:rsidRDefault="006177FC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1.2.1. </w:t>
      </w:r>
      <w:proofErr w:type="gramStart"/>
      <w:r w:rsidR="00531707" w:rsidRPr="00D738C0">
        <w:rPr>
          <w:rFonts w:eastAsia="Times New Roman"/>
          <w:color w:val="000000" w:themeColor="text1"/>
          <w:szCs w:val="24"/>
          <w:lang w:eastAsia="ru-RU"/>
        </w:rPr>
        <w:t xml:space="preserve">Несмотря на то, что в 2020 году </w:t>
      </w:r>
      <w:proofErr w:type="spellStart"/>
      <w:r w:rsidR="00531707" w:rsidRPr="00D738C0">
        <w:rPr>
          <w:rFonts w:eastAsia="Times New Roman"/>
          <w:color w:val="000000" w:themeColor="text1"/>
          <w:szCs w:val="24"/>
          <w:lang w:eastAsia="ru-RU"/>
        </w:rPr>
        <w:t>Минобрнауки</w:t>
      </w:r>
      <w:proofErr w:type="spellEnd"/>
      <w:r w:rsidR="00531707" w:rsidRPr="00D738C0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CC2082">
        <w:rPr>
          <w:rFonts w:eastAsia="Times New Roman"/>
          <w:color w:val="000000" w:themeColor="text1"/>
          <w:szCs w:val="24"/>
          <w:lang w:eastAsia="ru-RU"/>
        </w:rPr>
        <w:t xml:space="preserve">России </w:t>
      </w:r>
      <w:r w:rsidR="00531707" w:rsidRPr="00D738C0">
        <w:rPr>
          <w:rFonts w:eastAsia="Times New Roman"/>
          <w:color w:val="000000" w:themeColor="text1"/>
          <w:szCs w:val="24"/>
          <w:lang w:eastAsia="ru-RU"/>
        </w:rPr>
        <w:t xml:space="preserve">не </w:t>
      </w:r>
      <w:r w:rsidR="00133AC4">
        <w:rPr>
          <w:rFonts w:eastAsia="Times New Roman"/>
          <w:color w:val="000000" w:themeColor="text1"/>
          <w:szCs w:val="24"/>
          <w:lang w:eastAsia="ru-RU"/>
        </w:rPr>
        <w:t>опубликовало</w:t>
      </w:r>
      <w:r w:rsidR="00531707" w:rsidRPr="00D738C0">
        <w:rPr>
          <w:rFonts w:eastAsia="Times New Roman"/>
          <w:color w:val="000000" w:themeColor="text1"/>
          <w:szCs w:val="24"/>
          <w:lang w:eastAsia="ru-RU"/>
        </w:rPr>
        <w:t xml:space="preserve"> сбор от образовательных организаций высшего образования показателей по основным видам деятельности за 2019 год и последующую </w:t>
      </w:r>
      <w:r w:rsidR="00493915">
        <w:rPr>
          <w:rFonts w:eastAsia="Times New Roman"/>
          <w:color w:val="000000" w:themeColor="text1"/>
          <w:szCs w:val="24"/>
          <w:lang w:eastAsia="ru-RU"/>
        </w:rPr>
        <w:t>их</w:t>
      </w:r>
      <w:r w:rsidR="00531707" w:rsidRPr="00D738C0">
        <w:rPr>
          <w:rFonts w:eastAsia="Times New Roman"/>
          <w:color w:val="000000" w:themeColor="text1"/>
          <w:szCs w:val="24"/>
          <w:lang w:eastAsia="ru-RU"/>
        </w:rPr>
        <w:t xml:space="preserve"> обработку с целью проведения мониторинга эффективности деятельности образовательных организаций,  для корректного определения индикаторов развития </w:t>
      </w:r>
      <w:r w:rsidR="003435CC">
        <w:rPr>
          <w:rFonts w:eastAsia="Times New Roman"/>
          <w:color w:val="000000" w:themeColor="text1"/>
          <w:szCs w:val="24"/>
          <w:lang w:eastAsia="ru-RU"/>
        </w:rPr>
        <w:t>Северо-Кавказской государственной академии</w:t>
      </w:r>
      <w:r w:rsidR="00531707" w:rsidRPr="00D738C0">
        <w:rPr>
          <w:rFonts w:eastAsia="Times New Roman"/>
          <w:color w:val="000000" w:themeColor="text1"/>
          <w:szCs w:val="24"/>
          <w:lang w:eastAsia="ru-RU"/>
        </w:rPr>
        <w:t>, а также планирования динамики показателей по основным напра</w:t>
      </w:r>
      <w:r w:rsidR="004B10EA">
        <w:rPr>
          <w:rFonts w:eastAsia="Times New Roman"/>
          <w:color w:val="000000" w:themeColor="text1"/>
          <w:szCs w:val="24"/>
          <w:lang w:eastAsia="ru-RU"/>
        </w:rPr>
        <w:t>влениям деятельности на 2020-</w:t>
      </w:r>
      <w:r w:rsidR="00531707" w:rsidRPr="00D738C0">
        <w:rPr>
          <w:rFonts w:eastAsia="Times New Roman"/>
          <w:color w:val="000000" w:themeColor="text1"/>
          <w:szCs w:val="24"/>
          <w:lang w:eastAsia="ru-RU"/>
        </w:rPr>
        <w:t>2022 годы необходимо проанализировать достигнутые</w:t>
      </w:r>
      <w:proofErr w:type="gramEnd"/>
      <w:r w:rsidR="00531707" w:rsidRPr="00D738C0">
        <w:rPr>
          <w:rFonts w:eastAsia="Times New Roman"/>
          <w:color w:val="000000" w:themeColor="text1"/>
          <w:szCs w:val="24"/>
          <w:lang w:eastAsia="ru-RU"/>
        </w:rPr>
        <w:t xml:space="preserve"> Университетом в 2019 году</w:t>
      </w:r>
      <w:r w:rsidR="00C97D29" w:rsidRPr="00D738C0">
        <w:rPr>
          <w:rFonts w:eastAsia="Times New Roman"/>
          <w:color w:val="000000" w:themeColor="text1"/>
          <w:szCs w:val="24"/>
          <w:lang w:eastAsia="ru-RU"/>
        </w:rPr>
        <w:t xml:space="preserve"> значения показателей эффективности и их динамику в сравнении с двумя предыдущими годами.</w:t>
      </w:r>
    </w:p>
    <w:p w:rsidR="00C97D29" w:rsidRPr="00D738C0" w:rsidRDefault="00C97D29" w:rsidP="00A7327B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В таблице 1 приведены значения показателей эффективности, достигнутые </w:t>
      </w:r>
      <w:r w:rsidR="00C52F78">
        <w:rPr>
          <w:rFonts w:eastAsia="Times New Roman"/>
          <w:color w:val="000000" w:themeColor="text1"/>
          <w:szCs w:val="24"/>
          <w:lang w:eastAsia="ru-RU"/>
        </w:rPr>
        <w:t>СКГА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в 2017, 2018 и 2019 годах.</w:t>
      </w:r>
    </w:p>
    <w:p w:rsidR="00C97D29" w:rsidRPr="00D738C0" w:rsidRDefault="00C97D29" w:rsidP="00A10256">
      <w:pPr>
        <w:spacing w:after="0" w:line="36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E553CA" w:rsidRDefault="003E3DAD" w:rsidP="00182423">
      <w:pPr>
        <w:spacing w:after="0" w:line="360" w:lineRule="auto"/>
        <w:jc w:val="center"/>
        <w:rPr>
          <w:color w:val="000000" w:themeColor="text1"/>
          <w:szCs w:val="24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t>Таблица 1</w:t>
      </w:r>
      <w:r w:rsidR="00C97D29" w:rsidRPr="00D738C0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C97D29" w:rsidRPr="00D738C0">
        <w:rPr>
          <w:rFonts w:eastAsia="Calibri"/>
          <w:color w:val="000000" w:themeColor="text1"/>
          <w:szCs w:val="24"/>
        </w:rPr>
        <w:t>– Динамика достижения/</w:t>
      </w:r>
      <w:proofErr w:type="spellStart"/>
      <w:r w:rsidR="00C97D29" w:rsidRPr="00D738C0">
        <w:rPr>
          <w:rFonts w:eastAsia="Calibri"/>
          <w:color w:val="000000" w:themeColor="text1"/>
          <w:szCs w:val="24"/>
        </w:rPr>
        <w:t>недостижения</w:t>
      </w:r>
      <w:proofErr w:type="spellEnd"/>
      <w:r w:rsidR="00C97D29" w:rsidRPr="00D738C0">
        <w:rPr>
          <w:rFonts w:eastAsia="Calibri"/>
          <w:color w:val="000000" w:themeColor="text1"/>
          <w:szCs w:val="24"/>
        </w:rPr>
        <w:t xml:space="preserve"> пороговых показателей </w:t>
      </w:r>
      <w:r w:rsidRPr="00D738C0">
        <w:rPr>
          <w:rFonts w:eastAsia="Calibri"/>
          <w:color w:val="000000" w:themeColor="text1"/>
          <w:szCs w:val="24"/>
        </w:rPr>
        <w:br/>
      </w:r>
      <w:r w:rsidR="00C97D29" w:rsidRPr="00D738C0">
        <w:rPr>
          <w:rFonts w:eastAsia="Calibri"/>
          <w:color w:val="000000" w:themeColor="text1"/>
          <w:szCs w:val="24"/>
        </w:rPr>
        <w:t>мониторинга эффективности ФГБОУ ВО «</w:t>
      </w:r>
      <w:r w:rsidR="00C52F78">
        <w:rPr>
          <w:rFonts w:eastAsia="Calibri"/>
          <w:color w:val="000000" w:themeColor="text1"/>
          <w:szCs w:val="24"/>
        </w:rPr>
        <w:t>СКГА</w:t>
      </w:r>
      <w:r w:rsidR="00C97D29" w:rsidRPr="00D738C0">
        <w:rPr>
          <w:rFonts w:eastAsia="Calibri"/>
          <w:color w:val="000000" w:themeColor="text1"/>
          <w:szCs w:val="24"/>
        </w:rPr>
        <w:t>» в 2017-2019 гг.</w:t>
      </w:r>
    </w:p>
    <w:p w:rsidR="00182423" w:rsidRPr="00182423" w:rsidRDefault="00182423" w:rsidP="00182423">
      <w:pPr>
        <w:spacing w:after="0" w:line="360" w:lineRule="auto"/>
        <w:jc w:val="center"/>
        <w:rPr>
          <w:color w:val="000000" w:themeColor="text1"/>
          <w:szCs w:val="24"/>
        </w:rPr>
      </w:pPr>
    </w:p>
    <w:tbl>
      <w:tblPr>
        <w:tblStyle w:val="11"/>
        <w:tblW w:w="4997" w:type="pct"/>
        <w:tblInd w:w="-5" w:type="dxa"/>
        <w:tblLook w:val="04A0" w:firstRow="1" w:lastRow="0" w:firstColumn="1" w:lastColumn="0" w:noHBand="0" w:noVBand="1"/>
      </w:tblPr>
      <w:tblGrid>
        <w:gridCol w:w="2251"/>
        <w:gridCol w:w="1458"/>
        <w:gridCol w:w="985"/>
        <w:gridCol w:w="1457"/>
        <w:gridCol w:w="984"/>
        <w:gridCol w:w="1457"/>
        <w:gridCol w:w="984"/>
      </w:tblGrid>
      <w:tr w:rsidR="00182423" w:rsidRPr="00D738C0" w:rsidTr="00137B45">
        <w:trPr>
          <w:trHeight w:val="418"/>
          <w:tblHeader/>
        </w:trPr>
        <w:tc>
          <w:tcPr>
            <w:tcW w:w="1252" w:type="pct"/>
            <w:vMerge w:val="restart"/>
            <w:tcBorders>
              <w:top w:val="single" w:sz="4" w:space="0" w:color="auto"/>
            </w:tcBorders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</w:tcBorders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2017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</w:tcBorders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2018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</w:tcBorders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2019</w:t>
            </w:r>
          </w:p>
        </w:tc>
      </w:tr>
      <w:tr w:rsidR="00182423" w:rsidRPr="00D738C0" w:rsidTr="00137B45">
        <w:trPr>
          <w:cantSplit/>
          <w:trHeight w:val="1803"/>
          <w:tblHeader/>
        </w:trPr>
        <w:tc>
          <w:tcPr>
            <w:tcW w:w="1252" w:type="pct"/>
            <w:vMerge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2" w:type="pct"/>
            <w:textDirection w:val="btLr"/>
            <w:vAlign w:val="center"/>
          </w:tcPr>
          <w:p w:rsidR="00182423" w:rsidRPr="00182423" w:rsidRDefault="00182423" w:rsidP="00137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Порог</w:t>
            </w:r>
            <w:proofErr w:type="gramStart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.</w:t>
            </w:r>
            <w:proofErr w:type="gramEnd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</w:t>
            </w:r>
            <w:proofErr w:type="gramEnd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нач.</w:t>
            </w:r>
          </w:p>
        </w:tc>
        <w:tc>
          <w:tcPr>
            <w:tcW w:w="558" w:type="pct"/>
            <w:textDirection w:val="btLr"/>
            <w:vAlign w:val="center"/>
          </w:tcPr>
          <w:p w:rsidR="00182423" w:rsidRPr="00182423" w:rsidRDefault="00182423" w:rsidP="00137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Показатели ФГБОУ ВО «СКГА»</w:t>
            </w:r>
          </w:p>
        </w:tc>
        <w:tc>
          <w:tcPr>
            <w:tcW w:w="592" w:type="pct"/>
            <w:textDirection w:val="btLr"/>
            <w:vAlign w:val="center"/>
          </w:tcPr>
          <w:p w:rsidR="00182423" w:rsidRPr="00182423" w:rsidRDefault="00182423" w:rsidP="00137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Порог</w:t>
            </w:r>
            <w:proofErr w:type="gramStart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.</w:t>
            </w:r>
            <w:proofErr w:type="gramEnd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</w:t>
            </w:r>
            <w:proofErr w:type="gramEnd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нач.</w:t>
            </w:r>
          </w:p>
        </w:tc>
        <w:tc>
          <w:tcPr>
            <w:tcW w:w="718" w:type="pct"/>
            <w:textDirection w:val="btLr"/>
            <w:vAlign w:val="center"/>
          </w:tcPr>
          <w:p w:rsidR="00182423" w:rsidRPr="00182423" w:rsidRDefault="00182423" w:rsidP="00137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Показатели ФГБОУ ВО «СКГА»</w:t>
            </w:r>
          </w:p>
        </w:tc>
        <w:tc>
          <w:tcPr>
            <w:tcW w:w="601" w:type="pct"/>
            <w:textDirection w:val="btLr"/>
            <w:vAlign w:val="center"/>
          </w:tcPr>
          <w:p w:rsidR="00182423" w:rsidRPr="00182423" w:rsidRDefault="00182423" w:rsidP="00137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82423" w:rsidRPr="00182423" w:rsidRDefault="00182423" w:rsidP="00137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Порог</w:t>
            </w:r>
            <w:proofErr w:type="gramStart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.</w:t>
            </w:r>
            <w:proofErr w:type="gramEnd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</w:t>
            </w:r>
            <w:proofErr w:type="gramEnd"/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нач.</w:t>
            </w:r>
          </w:p>
          <w:p w:rsidR="00182423" w:rsidRPr="00182423" w:rsidRDefault="00182423" w:rsidP="00137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182423" w:rsidRPr="00182423" w:rsidRDefault="00182423" w:rsidP="00137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66" w:type="pct"/>
            <w:textDirection w:val="btLr"/>
            <w:vAlign w:val="center"/>
          </w:tcPr>
          <w:p w:rsidR="00182423" w:rsidRPr="00182423" w:rsidRDefault="00182423" w:rsidP="00137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Показатели ФГБОУ ВО «СКГА»</w:t>
            </w:r>
          </w:p>
        </w:tc>
      </w:tr>
      <w:tr w:rsidR="00182423" w:rsidRPr="00D738C0" w:rsidTr="00137B45">
        <w:trPr>
          <w:trHeight w:val="725"/>
        </w:trPr>
        <w:tc>
          <w:tcPr>
            <w:tcW w:w="125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5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54,61</w:t>
            </w:r>
          </w:p>
        </w:tc>
        <w:tc>
          <w:tcPr>
            <w:tcW w:w="59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1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56,45</w:t>
            </w:r>
          </w:p>
        </w:tc>
        <w:tc>
          <w:tcPr>
            <w:tcW w:w="601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57,34</w:t>
            </w:r>
          </w:p>
        </w:tc>
      </w:tr>
      <w:tr w:rsidR="00182423" w:rsidRPr="00D738C0" w:rsidTr="00137B45">
        <w:trPr>
          <w:trHeight w:val="1079"/>
        </w:trPr>
        <w:tc>
          <w:tcPr>
            <w:tcW w:w="125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61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51,28</w:t>
            </w:r>
          </w:p>
        </w:tc>
        <w:tc>
          <w:tcPr>
            <w:tcW w:w="55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1,72</w:t>
            </w:r>
          </w:p>
        </w:tc>
        <w:tc>
          <w:tcPr>
            <w:tcW w:w="59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51,28</w:t>
            </w:r>
          </w:p>
        </w:tc>
        <w:tc>
          <w:tcPr>
            <w:tcW w:w="71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5,95</w:t>
            </w:r>
          </w:p>
        </w:tc>
        <w:tc>
          <w:tcPr>
            <w:tcW w:w="601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sz w:val="24"/>
                <w:szCs w:val="24"/>
              </w:rPr>
              <w:t>51,28</w:t>
            </w:r>
          </w:p>
        </w:tc>
        <w:tc>
          <w:tcPr>
            <w:tcW w:w="666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64,71</w:t>
            </w:r>
          </w:p>
        </w:tc>
      </w:tr>
      <w:tr w:rsidR="00182423" w:rsidRPr="00D738C0" w:rsidTr="00137B45">
        <w:trPr>
          <w:trHeight w:val="725"/>
        </w:trPr>
        <w:tc>
          <w:tcPr>
            <w:tcW w:w="125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61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5,57</w:t>
            </w:r>
          </w:p>
        </w:tc>
        <w:tc>
          <w:tcPr>
            <w:tcW w:w="59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10,67</w:t>
            </w:r>
          </w:p>
        </w:tc>
        <w:tc>
          <w:tcPr>
            <w:tcW w:w="601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11,61</w:t>
            </w:r>
          </w:p>
        </w:tc>
      </w:tr>
      <w:tr w:rsidR="00182423" w:rsidRPr="00D738C0" w:rsidTr="00137B45">
        <w:trPr>
          <w:trHeight w:val="1079"/>
        </w:trPr>
        <w:tc>
          <w:tcPr>
            <w:tcW w:w="125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61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1327,57</w:t>
            </w:r>
          </w:p>
        </w:tc>
        <w:tc>
          <w:tcPr>
            <w:tcW w:w="55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1799,91</w:t>
            </w:r>
          </w:p>
        </w:tc>
        <w:tc>
          <w:tcPr>
            <w:tcW w:w="59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1327,57</w:t>
            </w:r>
          </w:p>
        </w:tc>
        <w:tc>
          <w:tcPr>
            <w:tcW w:w="71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1680,29</w:t>
            </w:r>
          </w:p>
        </w:tc>
        <w:tc>
          <w:tcPr>
            <w:tcW w:w="601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sz w:val="24"/>
                <w:szCs w:val="24"/>
              </w:rPr>
              <w:t>1327,57</w:t>
            </w:r>
          </w:p>
        </w:tc>
        <w:tc>
          <w:tcPr>
            <w:tcW w:w="666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2384,47</w:t>
            </w:r>
          </w:p>
        </w:tc>
      </w:tr>
      <w:tr w:rsidR="00182423" w:rsidRPr="00D738C0" w:rsidTr="00137B45">
        <w:trPr>
          <w:trHeight w:val="1256"/>
        </w:trPr>
        <w:tc>
          <w:tcPr>
            <w:tcW w:w="125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Заработная плата ППС</w:t>
            </w:r>
          </w:p>
        </w:tc>
        <w:tc>
          <w:tcPr>
            <w:tcW w:w="61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55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176,78</w:t>
            </w:r>
          </w:p>
        </w:tc>
        <w:tc>
          <w:tcPr>
            <w:tcW w:w="59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71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200,88</w:t>
            </w:r>
          </w:p>
        </w:tc>
        <w:tc>
          <w:tcPr>
            <w:tcW w:w="601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666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207,15</w:t>
            </w:r>
          </w:p>
        </w:tc>
      </w:tr>
      <w:tr w:rsidR="00182423" w:rsidRPr="00D738C0" w:rsidTr="00137B45">
        <w:trPr>
          <w:trHeight w:val="418"/>
        </w:trPr>
        <w:tc>
          <w:tcPr>
            <w:tcW w:w="125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Трудоустройство</w:t>
            </w:r>
          </w:p>
        </w:tc>
        <w:tc>
          <w:tcPr>
            <w:tcW w:w="61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5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9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1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2423" w:rsidRPr="00D738C0" w:rsidTr="00137B45">
        <w:trPr>
          <w:trHeight w:val="708"/>
        </w:trPr>
        <w:tc>
          <w:tcPr>
            <w:tcW w:w="125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Дополнительный показатель</w:t>
            </w:r>
          </w:p>
        </w:tc>
        <w:tc>
          <w:tcPr>
            <w:tcW w:w="61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2,78</w:t>
            </w:r>
          </w:p>
        </w:tc>
        <w:tc>
          <w:tcPr>
            <w:tcW w:w="55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4,31</w:t>
            </w:r>
          </w:p>
        </w:tc>
        <w:tc>
          <w:tcPr>
            <w:tcW w:w="592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2,78</w:t>
            </w:r>
          </w:p>
        </w:tc>
        <w:tc>
          <w:tcPr>
            <w:tcW w:w="718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4,56</w:t>
            </w:r>
          </w:p>
        </w:tc>
        <w:tc>
          <w:tcPr>
            <w:tcW w:w="601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666" w:type="pct"/>
            <w:vAlign w:val="center"/>
          </w:tcPr>
          <w:p w:rsidR="00182423" w:rsidRPr="00182423" w:rsidRDefault="00182423" w:rsidP="00137B4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242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3,99</w:t>
            </w:r>
          </w:p>
        </w:tc>
      </w:tr>
    </w:tbl>
    <w:p w:rsidR="00E553CA" w:rsidRPr="00D738C0" w:rsidRDefault="00E553CA" w:rsidP="00A10256">
      <w:pPr>
        <w:spacing w:after="0" w:line="360" w:lineRule="auto"/>
        <w:contextualSpacing/>
        <w:jc w:val="both"/>
        <w:rPr>
          <w:rFonts w:eastAsia="Calibri"/>
          <w:color w:val="000000" w:themeColor="text1"/>
          <w:szCs w:val="24"/>
        </w:rPr>
      </w:pPr>
    </w:p>
    <w:p w:rsidR="00A10256" w:rsidRPr="00D738C0" w:rsidRDefault="00A10256" w:rsidP="006926C1">
      <w:pPr>
        <w:spacing w:line="36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color w:val="000000" w:themeColor="text1"/>
          <w:szCs w:val="24"/>
          <w:lang w:eastAsia="ru-RU"/>
        </w:rPr>
        <w:br w:type="page"/>
      </w:r>
    </w:p>
    <w:p w:rsidR="004458A2" w:rsidRPr="00B756AA" w:rsidRDefault="00A54DF7" w:rsidP="00B756A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9181857"/>
      <w:r w:rsidRPr="00B756A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 АНАЛИЗ ЗАМЕЧАНИЙ И РЕКОМЕНДАЦИЙ ПО ДОРАБОТКЕ ПРОГРАММЫ РАЗВИТИЯ, ПОСТУПИВШИХ В ХОДЕ СЕМИНАРА</w:t>
      </w:r>
      <w:bookmarkEnd w:id="5"/>
    </w:p>
    <w:p w:rsidR="00861910" w:rsidRPr="00D738C0" w:rsidRDefault="00861910" w:rsidP="00DB0703">
      <w:pPr>
        <w:pStyle w:val="a3"/>
        <w:spacing w:after="0" w:line="360" w:lineRule="auto"/>
        <w:ind w:left="0" w:firstLine="709"/>
        <w:contextualSpacing w:val="0"/>
        <w:jc w:val="both"/>
        <w:rPr>
          <w:color w:val="000000" w:themeColor="text1"/>
          <w:szCs w:val="24"/>
        </w:rPr>
      </w:pPr>
    </w:p>
    <w:p w:rsidR="004458A2" w:rsidRPr="00D738C0" w:rsidRDefault="004458A2" w:rsidP="00165AD5">
      <w:pPr>
        <w:pStyle w:val="a3"/>
        <w:spacing w:after="0" w:line="360" w:lineRule="auto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D738C0">
        <w:rPr>
          <w:color w:val="000000" w:themeColor="text1"/>
          <w:szCs w:val="24"/>
        </w:rPr>
        <w:t>В ходе семинара по вопросам внедрения Программы развития ФГБОУ</w:t>
      </w:r>
      <w:r w:rsidR="009169D0" w:rsidRPr="00D738C0">
        <w:rPr>
          <w:color w:val="000000" w:themeColor="text1"/>
          <w:szCs w:val="24"/>
        </w:rPr>
        <w:t xml:space="preserve"> </w:t>
      </w:r>
      <w:proofErr w:type="gramStart"/>
      <w:r w:rsidRPr="00D738C0">
        <w:rPr>
          <w:color w:val="000000" w:themeColor="text1"/>
          <w:szCs w:val="24"/>
        </w:rPr>
        <w:t>ВО</w:t>
      </w:r>
      <w:proofErr w:type="gramEnd"/>
      <w:r w:rsidRPr="00D738C0">
        <w:rPr>
          <w:color w:val="000000" w:themeColor="text1"/>
          <w:szCs w:val="24"/>
        </w:rPr>
        <w:t xml:space="preserve"> «</w:t>
      </w:r>
      <w:proofErr w:type="gramStart"/>
      <w:r w:rsidR="00185E54">
        <w:rPr>
          <w:color w:val="000000" w:themeColor="text1"/>
          <w:szCs w:val="24"/>
        </w:rPr>
        <w:t>Северо-Кавказская</w:t>
      </w:r>
      <w:proofErr w:type="gramEnd"/>
      <w:r w:rsidR="00185E54">
        <w:rPr>
          <w:color w:val="000000" w:themeColor="text1"/>
          <w:szCs w:val="24"/>
        </w:rPr>
        <w:t xml:space="preserve"> государственная академия» на 2020-</w:t>
      </w:r>
      <w:r w:rsidRPr="00D738C0">
        <w:rPr>
          <w:color w:val="000000" w:themeColor="text1"/>
          <w:szCs w:val="24"/>
        </w:rPr>
        <w:t xml:space="preserve">2022 годы, проведенного онлайн </w:t>
      </w:r>
      <w:r w:rsidR="002C26D8">
        <w:rPr>
          <w:color w:val="000000" w:themeColor="text1"/>
          <w:szCs w:val="24"/>
        </w:rPr>
        <w:t>4</w:t>
      </w:r>
      <w:r w:rsidRPr="00D738C0">
        <w:rPr>
          <w:color w:val="000000" w:themeColor="text1"/>
          <w:szCs w:val="24"/>
        </w:rPr>
        <w:t xml:space="preserve"> июня 2020 года, участниками семинара были высказаны </w:t>
      </w:r>
      <w:r w:rsidRPr="00D738C0">
        <w:rPr>
          <w:i/>
          <w:color w:val="000000" w:themeColor="text1"/>
          <w:szCs w:val="24"/>
        </w:rPr>
        <w:t>замечания и предложения</w:t>
      </w:r>
      <w:r w:rsidRPr="00D738C0">
        <w:rPr>
          <w:color w:val="000000" w:themeColor="text1"/>
          <w:szCs w:val="24"/>
        </w:rPr>
        <w:t xml:space="preserve"> по доработке Программы</w:t>
      </w:r>
      <w:r w:rsidR="00CD0361" w:rsidRPr="00D738C0">
        <w:rPr>
          <w:color w:val="000000" w:themeColor="text1"/>
          <w:szCs w:val="24"/>
        </w:rPr>
        <w:t xml:space="preserve"> развития</w:t>
      </w:r>
      <w:r w:rsidR="003D036F">
        <w:rPr>
          <w:color w:val="000000" w:themeColor="text1"/>
          <w:szCs w:val="24"/>
        </w:rPr>
        <w:t>:</w:t>
      </w:r>
    </w:p>
    <w:p w:rsidR="00297215" w:rsidRDefault="003F2C8A" w:rsidP="00165AD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color w:val="000000" w:themeColor="text1"/>
          <w:szCs w:val="24"/>
        </w:rPr>
      </w:pPr>
      <w:r w:rsidRPr="00297215">
        <w:rPr>
          <w:bCs/>
        </w:rPr>
        <w:t>Разделы программы развития необходимо четко структурировать (отсутствует оглавление, введение или информационная записка, паспорт программы развития, краткое описание истории развития академии</w:t>
      </w:r>
      <w:r>
        <w:t>)</w:t>
      </w:r>
      <w:r w:rsidR="00297215">
        <w:t>.</w:t>
      </w:r>
    </w:p>
    <w:p w:rsidR="009169D0" w:rsidRPr="00297215" w:rsidRDefault="003F2C8A" w:rsidP="00165AD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color w:val="000000" w:themeColor="text1"/>
          <w:szCs w:val="24"/>
        </w:rPr>
      </w:pPr>
      <w:proofErr w:type="gramStart"/>
      <w:r>
        <w:t>Содержание каждого из разделов не в полной мере следует из обозначенных в программе развития стратегических целей и ключевых задач, определенных в разделе «Стратегические цели и ключевые задачи, ключевые показатели эффективности образовательной организации высшего образования Карачаево-Черкесской Республики»</w:t>
      </w:r>
      <w:r w:rsidR="00297215">
        <w:t>.</w:t>
      </w:r>
      <w:proofErr w:type="gramEnd"/>
    </w:p>
    <w:p w:rsidR="003F2C8A" w:rsidRDefault="003F2C8A" w:rsidP="00165AD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color w:val="000000" w:themeColor="text1"/>
          <w:szCs w:val="24"/>
        </w:rPr>
      </w:pPr>
      <w:r>
        <w:t>Перечень мероприятий, приводимый по каждому из разделов, носит чрезмерно обобщенный характер, и недостаточно четко определена их целесообразность и ожидаемые результаты их реализации</w:t>
      </w:r>
      <w:r w:rsidR="00297215">
        <w:rPr>
          <w:color w:val="000000" w:themeColor="text1"/>
          <w:szCs w:val="24"/>
        </w:rPr>
        <w:t>.</w:t>
      </w:r>
    </w:p>
    <w:p w:rsidR="009169D0" w:rsidRPr="00467D20" w:rsidRDefault="009169D0" w:rsidP="00165AD5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szCs w:val="22"/>
          <w:lang w:eastAsia="en-US"/>
        </w:rPr>
      </w:pPr>
      <w:r w:rsidRPr="00D738C0">
        <w:rPr>
          <w:color w:val="000000" w:themeColor="text1"/>
        </w:rPr>
        <w:t xml:space="preserve">С целью устранения указанных замечаний участниками семинара были выработаны следующие </w:t>
      </w:r>
      <w:r w:rsidRPr="00467D20">
        <w:rPr>
          <w:rFonts w:eastAsiaTheme="minorHAnsi"/>
          <w:szCs w:val="22"/>
          <w:lang w:eastAsia="en-US"/>
        </w:rPr>
        <w:t>предложения</w:t>
      </w:r>
      <w:r w:rsidR="003563C7" w:rsidRPr="00467D20">
        <w:rPr>
          <w:rFonts w:eastAsiaTheme="minorHAnsi"/>
          <w:szCs w:val="22"/>
          <w:lang w:eastAsia="en-US"/>
        </w:rPr>
        <w:t>:</w:t>
      </w:r>
    </w:p>
    <w:p w:rsidR="003563C7" w:rsidRDefault="003563C7" w:rsidP="00165AD5">
      <w:pPr>
        <w:spacing w:after="0" w:line="360" w:lineRule="auto"/>
        <w:ind w:firstLine="708"/>
      </w:pPr>
      <w:r>
        <w:t xml:space="preserve">1. </w:t>
      </w:r>
      <w:r w:rsidR="00467D20">
        <w:t>Включить в программу развития оглавление и новые разделы</w:t>
      </w:r>
      <w:r>
        <w:t xml:space="preserve">: </w:t>
      </w:r>
    </w:p>
    <w:p w:rsidR="003563C7" w:rsidRDefault="0002556F" w:rsidP="00165AD5">
      <w:pPr>
        <w:spacing w:after="0" w:line="360" w:lineRule="auto"/>
      </w:pPr>
      <w:r>
        <w:t xml:space="preserve">                - Введение</w:t>
      </w:r>
      <w:r w:rsidR="003563C7">
        <w:t xml:space="preserve">, </w:t>
      </w:r>
    </w:p>
    <w:p w:rsidR="003563C7" w:rsidRPr="00467D20" w:rsidRDefault="0002556F" w:rsidP="00165AD5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 - </w:t>
      </w:r>
      <w:r w:rsidR="003563C7" w:rsidRPr="00467D20">
        <w:rPr>
          <w:rFonts w:eastAsiaTheme="minorHAnsi"/>
          <w:szCs w:val="22"/>
          <w:lang w:eastAsia="en-US"/>
        </w:rPr>
        <w:t>Краткое описан</w:t>
      </w:r>
      <w:r>
        <w:rPr>
          <w:rFonts w:eastAsiaTheme="minorHAnsi"/>
          <w:szCs w:val="22"/>
          <w:lang w:eastAsia="en-US"/>
        </w:rPr>
        <w:t>ие истории развития академии</w:t>
      </w:r>
      <w:r w:rsidR="003563C7" w:rsidRPr="00467D20">
        <w:rPr>
          <w:rFonts w:eastAsiaTheme="minorHAnsi"/>
          <w:szCs w:val="22"/>
          <w:lang w:eastAsia="en-US"/>
        </w:rPr>
        <w:t>.</w:t>
      </w:r>
    </w:p>
    <w:p w:rsidR="003563C7" w:rsidRPr="00467D20" w:rsidRDefault="003563C7" w:rsidP="00165AD5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szCs w:val="22"/>
          <w:lang w:eastAsia="en-US"/>
        </w:rPr>
      </w:pPr>
      <w:r w:rsidRPr="00467D20">
        <w:rPr>
          <w:rFonts w:eastAsiaTheme="minorHAnsi"/>
          <w:szCs w:val="22"/>
          <w:lang w:eastAsia="en-US"/>
        </w:rPr>
        <w:t>2. При раскрытии каждого раздела целесообразно выделять конкретную стратегическую задачу, обозначенную в соответствующем разделе, и определять перечень подзадач (по разделу), в соответствии с которыми будут определяться мероприятия с ожидаемыми результатами по ним.</w:t>
      </w:r>
    </w:p>
    <w:p w:rsidR="00467D20" w:rsidRDefault="00467D20" w:rsidP="005226ED">
      <w:pPr>
        <w:spacing w:after="0" w:line="360" w:lineRule="auto"/>
        <w:ind w:firstLine="708"/>
        <w:jc w:val="both"/>
      </w:pPr>
      <w:r>
        <w:t>3. В рамках каждого блока предпочтительней структурировать перечисленные мероприятия, например, исходя из их приоритетности или очередности участия в них.</w:t>
      </w:r>
      <w:r w:rsidR="007D7541">
        <w:t xml:space="preserve"> </w:t>
      </w:r>
      <w:r>
        <w:t>Перечень мероприятий по каждому из направлений модернизации должен четко следовать из стратегических целей и ключевых задач (подзадач), определенных в программе развития, а также быть отражен, в итоге, в детальном плане-графике.</w:t>
      </w:r>
    </w:p>
    <w:p w:rsidR="00C97D29" w:rsidRPr="00467D20" w:rsidRDefault="00467D20" w:rsidP="00165AD5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Theme="minorHAnsi"/>
          <w:szCs w:val="22"/>
          <w:lang w:eastAsia="en-US"/>
        </w:rPr>
      </w:pPr>
      <w:r w:rsidRPr="00467D20">
        <w:rPr>
          <w:rFonts w:eastAsiaTheme="minorHAnsi"/>
          <w:szCs w:val="22"/>
          <w:lang w:eastAsia="en-US"/>
        </w:rPr>
        <w:t>Необходимо прописать краткое описание каждого включаемого мероприятия/или самых ключевых, стратегических мероприятий по каждому из направлений исходя из их приоритета, требований к их реализации, сроков реализации и ожидаемых результатов</w:t>
      </w:r>
      <w:r>
        <w:rPr>
          <w:rFonts w:eastAsiaTheme="minorHAnsi"/>
          <w:szCs w:val="22"/>
          <w:lang w:eastAsia="en-US"/>
        </w:rPr>
        <w:t>.</w:t>
      </w:r>
    </w:p>
    <w:p w:rsidR="00FD6B80" w:rsidRPr="00B756AA" w:rsidRDefault="00FD6B80" w:rsidP="00165AD5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00B050"/>
        </w:rPr>
      </w:pPr>
    </w:p>
    <w:p w:rsidR="00BA16EB" w:rsidRPr="00B756AA" w:rsidRDefault="00BA16EB" w:rsidP="00CF4B8D">
      <w:pPr>
        <w:pStyle w:val="1"/>
        <w:pageBreakBefore/>
        <w:numPr>
          <w:ilvl w:val="0"/>
          <w:numId w:val="9"/>
        </w:numPr>
        <w:spacing w:before="0" w:line="360" w:lineRule="auto"/>
        <w:ind w:left="0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9181859"/>
      <w:r w:rsidRPr="00B756A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ПРЕДЛОЖЕНИЯ ПО СТРУКТУРИРОВАНИЮ ПРОГРАММЫ РАЗВИТИЯ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СКГА</w:t>
      </w:r>
    </w:p>
    <w:p w:rsidR="00BA16EB" w:rsidRPr="00B756AA" w:rsidRDefault="00BA16EB" w:rsidP="00BA16EB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00B050"/>
        </w:rPr>
      </w:pPr>
    </w:p>
    <w:p w:rsidR="00BA16EB" w:rsidRPr="00165AD5" w:rsidRDefault="00BA16EB" w:rsidP="00BA16EB">
      <w:pPr>
        <w:pStyle w:val="Style5"/>
        <w:spacing w:line="360" w:lineRule="auto"/>
        <w:ind w:firstLine="567"/>
        <w:jc w:val="both"/>
        <w:rPr>
          <w:rFonts w:ascii="Times New Roman" w:hAnsi="Times New Roman"/>
          <w:bCs/>
        </w:rPr>
      </w:pPr>
      <w:r w:rsidRPr="00165AD5">
        <w:rPr>
          <w:rFonts w:ascii="Times New Roman" w:hAnsi="Times New Roman"/>
          <w:bCs/>
        </w:rPr>
        <w:t>В целях более четкого и логичного изложения ключевых разделов Программы развития</w:t>
      </w:r>
      <w:r>
        <w:rPr>
          <w:rFonts w:ascii="Times New Roman" w:hAnsi="Times New Roman"/>
          <w:bCs/>
        </w:rPr>
        <w:t>, а также выстраивания взаимодействия между различными предложениями по модернизации деятельности СКГА</w:t>
      </w:r>
      <w:r w:rsidRPr="00165AD5">
        <w:rPr>
          <w:rFonts w:ascii="Times New Roman" w:hAnsi="Times New Roman"/>
          <w:bCs/>
        </w:rPr>
        <w:t xml:space="preserve"> рекомендуется доработать Программы развития, пред</w:t>
      </w:r>
      <w:r>
        <w:rPr>
          <w:rFonts w:ascii="Times New Roman" w:hAnsi="Times New Roman"/>
          <w:bCs/>
        </w:rPr>
        <w:t>усмотрев следующую её структуру:</w:t>
      </w:r>
    </w:p>
    <w:p w:rsidR="00BA16EB" w:rsidRPr="00165AD5" w:rsidRDefault="00BA16EB" w:rsidP="00BA16EB">
      <w:pPr>
        <w:pStyle w:val="Style5"/>
        <w:spacing w:line="360" w:lineRule="auto"/>
        <w:ind w:firstLine="567"/>
        <w:jc w:val="both"/>
        <w:rPr>
          <w:rFonts w:ascii="Times New Roman" w:hAnsi="Times New Roman"/>
          <w:bCs/>
        </w:rPr>
      </w:pPr>
      <w:r w:rsidRPr="00E35CCC">
        <w:rPr>
          <w:rFonts w:ascii="Times New Roman" w:hAnsi="Times New Roman"/>
          <w:bCs/>
        </w:rPr>
        <w:t xml:space="preserve">1. </w:t>
      </w:r>
      <w:proofErr w:type="gramStart"/>
      <w:r w:rsidRPr="00E35CCC">
        <w:rPr>
          <w:rFonts w:ascii="Times New Roman" w:hAnsi="Times New Roman"/>
          <w:bCs/>
        </w:rPr>
        <w:t>В разделе</w:t>
      </w:r>
      <w:r w:rsidRPr="00165AD5">
        <w:rPr>
          <w:rFonts w:ascii="Times New Roman" w:hAnsi="Times New Roman"/>
          <w:b/>
          <w:bCs/>
        </w:rPr>
        <w:t xml:space="preserve"> </w:t>
      </w:r>
      <w:r w:rsidRPr="00165AD5">
        <w:rPr>
          <w:rFonts w:ascii="Times New Roman" w:hAnsi="Times New Roman"/>
          <w:bCs/>
        </w:rPr>
        <w:t xml:space="preserve">«Стратегические цели и ключевые задачи, ключевые показатели эффективности образовательной организации высшего образования Карачаево-Черкесской Республики» выработать стратегические цели и задачи вуза, основываясь на выводах из предыдущих разделов отчетной документации, таких как «Анализ ситуации </w:t>
      </w:r>
      <w:proofErr w:type="spellStart"/>
      <w:r w:rsidRPr="00165AD5">
        <w:rPr>
          <w:rFonts w:ascii="Times New Roman" w:hAnsi="Times New Roman"/>
          <w:bCs/>
        </w:rPr>
        <w:t>недостижения</w:t>
      </w:r>
      <w:proofErr w:type="spellEnd"/>
      <w:r w:rsidRPr="00165AD5">
        <w:rPr>
          <w:rFonts w:ascii="Times New Roman" w:hAnsi="Times New Roman"/>
          <w:bCs/>
        </w:rPr>
        <w:t xml:space="preserve"> образовательной организации высшего образования КЧР показателей в мониторинге эффективности в 2018 году» и «Анализ социально-экономического состояния КЧР»</w:t>
      </w:r>
      <w:r>
        <w:rPr>
          <w:rFonts w:ascii="Times New Roman" w:hAnsi="Times New Roman"/>
          <w:bCs/>
        </w:rPr>
        <w:t>.</w:t>
      </w:r>
      <w:proofErr w:type="gramEnd"/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color w:val="00B050"/>
          <w:szCs w:val="24"/>
        </w:rPr>
        <w:t xml:space="preserve">         </w:t>
      </w:r>
      <w:r w:rsidRPr="003D036F">
        <w:rPr>
          <w:bCs/>
          <w:szCs w:val="24"/>
        </w:rPr>
        <w:t xml:space="preserve">2. </w:t>
      </w:r>
      <w:r w:rsidRPr="00165AD5">
        <w:rPr>
          <w:bCs/>
          <w:szCs w:val="24"/>
        </w:rPr>
        <w:t>Раздел «Предложения по модернизации образовательной деятельности» необходимо качественно переработать, включив в него следующую информацию: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количество реализуемых образовательных программ;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 xml:space="preserve">- </w:t>
      </w:r>
      <w:r>
        <w:rPr>
          <w:bCs/>
          <w:szCs w:val="24"/>
        </w:rPr>
        <w:t>построение</w:t>
      </w:r>
      <w:r w:rsidRPr="00165AD5">
        <w:rPr>
          <w:bCs/>
          <w:szCs w:val="24"/>
        </w:rPr>
        <w:t xml:space="preserve"> «сквозных» образовательных вертикалей </w:t>
      </w:r>
      <w:proofErr w:type="spellStart"/>
      <w:r w:rsidRPr="00165AD5">
        <w:rPr>
          <w:bCs/>
          <w:szCs w:val="24"/>
        </w:rPr>
        <w:t>бакалавриат</w:t>
      </w:r>
      <w:proofErr w:type="spellEnd"/>
      <w:r w:rsidRPr="00165AD5">
        <w:rPr>
          <w:bCs/>
          <w:szCs w:val="24"/>
        </w:rPr>
        <w:t xml:space="preserve">-магистратура-аспирантура. В текущий момент в академии нарушена преемственность образовательных программ, большая часть направлений либо не реализуются на уровне магистратуры, либо вообще не имеют базы, даже на уровне </w:t>
      </w:r>
      <w:proofErr w:type="spellStart"/>
      <w:r w:rsidRPr="00165AD5">
        <w:rPr>
          <w:bCs/>
          <w:szCs w:val="24"/>
        </w:rPr>
        <w:t>бакалавриата</w:t>
      </w:r>
      <w:proofErr w:type="spellEnd"/>
      <w:r w:rsidRPr="00165AD5">
        <w:rPr>
          <w:bCs/>
          <w:szCs w:val="24"/>
        </w:rPr>
        <w:t xml:space="preserve"> при том, что в аспирантуре такое направление есть;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Необходимо определить следующие подзадачи (ориентировочные) в рамках реализации стратегической задачи: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 xml:space="preserve">оптимизация портфеля действующих образовательных программ; 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>-</w:t>
      </w:r>
      <w:r w:rsidRPr="00B033F5">
        <w:t xml:space="preserve"> </w:t>
      </w:r>
      <w:r w:rsidRPr="00B033F5">
        <w:rPr>
          <w:bCs/>
          <w:szCs w:val="24"/>
        </w:rPr>
        <w:t>содействие повышению качества школьного образования в регионе, работа со школьниками и студентами с целью проведения профориентации и выявления талантливой молодежи</w:t>
      </w:r>
      <w:r w:rsidRPr="00165AD5">
        <w:rPr>
          <w:bCs/>
          <w:szCs w:val="24"/>
        </w:rPr>
        <w:t>;</w:t>
      </w:r>
    </w:p>
    <w:p w:rsidR="00BA16EB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>формирование информационно-образовательного портала поддержки отдаленных регионов и т.д</w:t>
      </w:r>
      <w:r w:rsidRPr="000E058C">
        <w:rPr>
          <w:bCs/>
          <w:szCs w:val="24"/>
        </w:rPr>
        <w:t>.</w:t>
      </w:r>
      <w:r>
        <w:rPr>
          <w:bCs/>
          <w:szCs w:val="24"/>
        </w:rPr>
        <w:t>;</w:t>
      </w:r>
    </w:p>
    <w:p w:rsidR="00BA16EB" w:rsidRPr="00AE76AF" w:rsidRDefault="00BA16EB" w:rsidP="00BA16EB">
      <w:pPr>
        <w:spacing w:after="0" w:line="360" w:lineRule="auto"/>
        <w:jc w:val="both"/>
        <w:rPr>
          <w:bCs/>
          <w:szCs w:val="24"/>
        </w:rPr>
      </w:pPr>
      <w:r>
        <w:t xml:space="preserve">- </w:t>
      </w:r>
      <w:r w:rsidRPr="00F12A3F">
        <w:t>построение образовательных вертикалей</w:t>
      </w:r>
      <w:r w:rsidRPr="000E058C">
        <w:t>.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Перечень возможных мероприятий:</w:t>
      </w:r>
    </w:p>
    <w:p w:rsidR="00BA16EB" w:rsidRPr="00165AD5" w:rsidRDefault="00BA16EB" w:rsidP="00BA16EB">
      <w:pPr>
        <w:pStyle w:val="a3"/>
        <w:spacing w:after="0" w:line="360" w:lineRule="auto"/>
        <w:ind w:left="93" w:right="51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 xml:space="preserve">отказ от малоэффективных, неконкурентоспособных профилей и направлений подготовки и открытия новых, востребованных предприятиями образовательных программ, в том числе по таким отраслям, как «Сельское, лесное хозяйство, охота, </w:t>
      </w:r>
      <w:r w:rsidRPr="00165AD5">
        <w:rPr>
          <w:bCs/>
          <w:szCs w:val="24"/>
        </w:rPr>
        <w:lastRenderedPageBreak/>
        <w:t xml:space="preserve">рыболовство и рыбоводство», «Обрабатывающие производства» «Медицинская биофизика», «Технологии легкой и пищевой промышленности» к 2022 году; </w:t>
      </w:r>
    </w:p>
    <w:p w:rsidR="00BA16EB" w:rsidRPr="00165AD5" w:rsidRDefault="00BA16EB" w:rsidP="00BA16EB">
      <w:pPr>
        <w:pStyle w:val="a3"/>
        <w:spacing w:after="0" w:line="360" w:lineRule="auto"/>
        <w:ind w:left="93" w:right="51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>заключение договоров о сетевой форме реализации образовательных программ с ведущими вузами, реализующими;</w:t>
      </w:r>
    </w:p>
    <w:p w:rsidR="00BA16EB" w:rsidRPr="00165AD5" w:rsidRDefault="00BA16EB" w:rsidP="00BA16EB">
      <w:pPr>
        <w:spacing w:after="0" w:line="360" w:lineRule="auto"/>
        <w:ind w:left="93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 xml:space="preserve">проведение предметных и </w:t>
      </w:r>
      <w:proofErr w:type="gramStart"/>
      <w:r w:rsidRPr="00165AD5">
        <w:rPr>
          <w:bCs/>
          <w:szCs w:val="24"/>
        </w:rPr>
        <w:t>мета-предметных</w:t>
      </w:r>
      <w:proofErr w:type="gramEnd"/>
      <w:r w:rsidRPr="00165AD5">
        <w:rPr>
          <w:bCs/>
          <w:szCs w:val="24"/>
        </w:rPr>
        <w:t xml:space="preserve"> олимпиад, конкурсов, интерактивных познавательных мероприятий, в том числе совместно с МФТИ, по математике, информатике, химии, биологии начиная с 2021 года;</w:t>
      </w:r>
    </w:p>
    <w:p w:rsidR="00BA16EB" w:rsidRDefault="00BA16EB" w:rsidP="00BA16EB">
      <w:pPr>
        <w:spacing w:after="0" w:line="360" w:lineRule="auto"/>
        <w:ind w:left="93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 xml:space="preserve">взаимодействие с Заочной физико-технической школой МФТИ в рамках </w:t>
      </w:r>
      <w:proofErr w:type="spellStart"/>
      <w:r w:rsidRPr="00165AD5">
        <w:rPr>
          <w:bCs/>
          <w:szCs w:val="24"/>
        </w:rPr>
        <w:t>довузовского</w:t>
      </w:r>
      <w:proofErr w:type="spellEnd"/>
      <w:r w:rsidRPr="00165AD5">
        <w:rPr>
          <w:bCs/>
          <w:szCs w:val="24"/>
        </w:rPr>
        <w:t xml:space="preserve"> образования и развитие системы профильных классов в средней школе в 2020 году;</w:t>
      </w:r>
    </w:p>
    <w:p w:rsidR="00BA16EB" w:rsidRPr="00165AD5" w:rsidRDefault="00BA16EB" w:rsidP="00BA16EB">
      <w:pPr>
        <w:spacing w:after="0" w:line="360" w:lineRule="auto"/>
        <w:ind w:left="93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>
        <w:t>внедрение проектно-ориентированного подхода в образовательной деятельности. Задачи для проектной деятельности должны быть выбраны совместно с предприятиями региона.</w:t>
      </w:r>
    </w:p>
    <w:p w:rsidR="00BA16EB" w:rsidRPr="00165AD5" w:rsidRDefault="00BA16EB" w:rsidP="00BA16EB">
      <w:pPr>
        <w:spacing w:after="0" w:line="360" w:lineRule="auto"/>
        <w:ind w:firstLine="708"/>
        <w:jc w:val="both"/>
        <w:rPr>
          <w:bCs/>
          <w:szCs w:val="24"/>
        </w:rPr>
      </w:pPr>
      <w:r w:rsidRPr="00B415B7">
        <w:rPr>
          <w:bCs/>
          <w:szCs w:val="24"/>
        </w:rPr>
        <w:t>3.</w:t>
      </w:r>
      <w:r>
        <w:rPr>
          <w:bCs/>
          <w:color w:val="00B050"/>
          <w:szCs w:val="24"/>
        </w:rPr>
        <w:t xml:space="preserve"> </w:t>
      </w:r>
      <w:r w:rsidRPr="00165AD5">
        <w:rPr>
          <w:bCs/>
          <w:szCs w:val="24"/>
        </w:rPr>
        <w:t xml:space="preserve">Раздел «Предложения по модернизации научно-исследовательской </w:t>
      </w:r>
      <w:r w:rsidRPr="00165AD5">
        <w:rPr>
          <w:bCs/>
          <w:szCs w:val="24"/>
        </w:rPr>
        <w:br/>
        <w:t>и инновационной деятельности» необходимо качественно переработать, включив в него следующую информацию: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количество публикаций в базах данных;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анализ возможности формирования потенциальных команд для участия в НИР и получения грантов и для выполнения работ и услуг научно-технического и организационного характера;</w:t>
      </w:r>
    </w:p>
    <w:p w:rsidR="00BA16EB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обоснование профиля, на котором мог бы специализироваться вуз и стать конкурентоспособным для выполнения научных работ на уровне СКФО, принимая во внимание возможности внешней среды, запросы региона, но с учетом невысоких показателей по научно-исследовательской деятельности в вузе в целом; определить возможность межвузовской интеграции в этой сфере;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>- формирование рекомендаций по получению грантов РНФ и РФФИ.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Необходимо определить следующие подзадачи (ориентировочные) в рамках реализации стратегической задачи: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 xml:space="preserve">создание системы стимулирования научной деятельности, публикационной активности НПР в высокорейтинговых российских и зарубежных </w:t>
      </w:r>
      <w:proofErr w:type="gramStart"/>
      <w:r w:rsidRPr="00165AD5">
        <w:rPr>
          <w:bCs/>
          <w:szCs w:val="24"/>
        </w:rPr>
        <w:t>журналах</w:t>
      </w:r>
      <w:proofErr w:type="gramEnd"/>
      <w:r w:rsidRPr="00165AD5">
        <w:rPr>
          <w:bCs/>
          <w:szCs w:val="24"/>
        </w:rPr>
        <w:t xml:space="preserve"> как в рамках эффективного контракта, так и в рамках научно-исследовательской деятельности в 2020 году;</w:t>
      </w:r>
    </w:p>
    <w:p w:rsidR="00BA16EB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>
        <w:t>динамичное развитие фундаментальной и прикладной науки</w:t>
      </w:r>
      <w:r w:rsidRPr="00165AD5">
        <w:rPr>
          <w:bCs/>
          <w:szCs w:val="24"/>
        </w:rPr>
        <w:t>;</w:t>
      </w:r>
    </w:p>
    <w:p w:rsidR="00BA16EB" w:rsidRPr="00144770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>
        <w:t>модернизация системы управления научной деятельности</w:t>
      </w:r>
      <w:r w:rsidRPr="000E058C">
        <w:t>;</w:t>
      </w:r>
    </w:p>
    <w:p w:rsidR="00BA16EB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 xml:space="preserve">создание новых и развитие имеющихся учебных научно-производственных центров 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 xml:space="preserve">СКГА. 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lastRenderedPageBreak/>
        <w:t>Перечень возможных мероприятий:</w:t>
      </w:r>
    </w:p>
    <w:p w:rsidR="00BA16EB" w:rsidRPr="00165AD5" w:rsidRDefault="00BA16EB" w:rsidP="00BA16EB">
      <w:pPr>
        <w:spacing w:after="0" w:line="360" w:lineRule="auto"/>
        <w:ind w:left="76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 xml:space="preserve">увеличение числа публикаций в изданиях, включенных в перечень </w:t>
      </w:r>
      <w:proofErr w:type="spellStart"/>
      <w:r w:rsidRPr="00165AD5">
        <w:rPr>
          <w:bCs/>
          <w:szCs w:val="24"/>
        </w:rPr>
        <w:t>Web</w:t>
      </w:r>
      <w:proofErr w:type="spellEnd"/>
      <w:r w:rsidRPr="00165AD5">
        <w:rPr>
          <w:bCs/>
          <w:szCs w:val="24"/>
        </w:rPr>
        <w:t xml:space="preserve"> </w:t>
      </w:r>
      <w:proofErr w:type="spellStart"/>
      <w:r w:rsidRPr="00165AD5">
        <w:rPr>
          <w:bCs/>
          <w:szCs w:val="24"/>
        </w:rPr>
        <w:t>of</w:t>
      </w:r>
      <w:proofErr w:type="spellEnd"/>
      <w:r w:rsidRPr="00165AD5">
        <w:rPr>
          <w:bCs/>
          <w:szCs w:val="24"/>
        </w:rPr>
        <w:t xml:space="preserve"> </w:t>
      </w:r>
      <w:proofErr w:type="spellStart"/>
      <w:r w:rsidRPr="00165AD5">
        <w:rPr>
          <w:bCs/>
          <w:szCs w:val="24"/>
        </w:rPr>
        <w:t>Science</w:t>
      </w:r>
      <w:proofErr w:type="spellEnd"/>
      <w:r w:rsidRPr="00165AD5">
        <w:rPr>
          <w:bCs/>
          <w:szCs w:val="24"/>
        </w:rPr>
        <w:t xml:space="preserve"> и </w:t>
      </w:r>
      <w:proofErr w:type="spellStart"/>
      <w:r w:rsidRPr="00165AD5">
        <w:rPr>
          <w:bCs/>
          <w:szCs w:val="24"/>
        </w:rPr>
        <w:t>Scopus</w:t>
      </w:r>
      <w:proofErr w:type="spellEnd"/>
      <w:r w:rsidRPr="00165AD5">
        <w:rPr>
          <w:bCs/>
          <w:szCs w:val="24"/>
        </w:rPr>
        <w:t xml:space="preserve"> до 20 публикаций в год, а также активизация патентной деятельности (до 10 патентов в год) к 2021 году;</w:t>
      </w:r>
    </w:p>
    <w:p w:rsidR="00BA16EB" w:rsidRDefault="00BA16EB" w:rsidP="00BA16EB">
      <w:pPr>
        <w:spacing w:after="0" w:line="360" w:lineRule="auto"/>
        <w:ind w:left="76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 xml:space="preserve">развитие студенческих НИР в рамках учебного процесса (путем выполнения заданий, курсовых, и ВКР, содержащих элементы НИР) и во </w:t>
      </w:r>
      <w:proofErr w:type="spellStart"/>
      <w:r w:rsidRPr="00165AD5">
        <w:rPr>
          <w:bCs/>
          <w:szCs w:val="24"/>
        </w:rPr>
        <w:t>внеучебное</w:t>
      </w:r>
      <w:proofErr w:type="spellEnd"/>
      <w:r w:rsidRPr="00165AD5">
        <w:rPr>
          <w:bCs/>
          <w:szCs w:val="24"/>
        </w:rPr>
        <w:t xml:space="preserve"> время (в рамках студенческих научных обществ, кружков и т.д.) в 2021 году;</w:t>
      </w:r>
    </w:p>
    <w:p w:rsidR="00BA16EB" w:rsidRPr="00B473F6" w:rsidRDefault="00BA16EB" w:rsidP="00BA16EB">
      <w:pPr>
        <w:spacing w:after="0" w:line="360" w:lineRule="auto"/>
        <w:ind w:left="76"/>
        <w:jc w:val="both"/>
        <w:rPr>
          <w:bCs/>
          <w:szCs w:val="24"/>
        </w:rPr>
      </w:pPr>
      <w:r w:rsidRPr="000E058C">
        <w:t xml:space="preserve">- </w:t>
      </w:r>
      <w:r>
        <w:t>внедрение системы долгосрочного планирования и регулярной актуализации приоритетных научных, научно-технических проектов</w:t>
      </w:r>
      <w:r w:rsidRPr="000E058C">
        <w:t>;</w:t>
      </w:r>
    </w:p>
    <w:p w:rsidR="00BA16EB" w:rsidRPr="00165AD5" w:rsidRDefault="00BA16EB" w:rsidP="00BA16EB">
      <w:pPr>
        <w:pStyle w:val="a3"/>
        <w:spacing w:after="0" w:line="360" w:lineRule="auto"/>
        <w:ind w:left="76" w:right="51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>разработка ЛНА, регламентирующих научно-исследовательскую деятельность и ее развитие, или их актуализация с учетом положений Программы развития, например, Положения об организации и проведения конкурсного отбора внутренних научных исследований, Положения о Научной школе Академии, Положения о формировании временных научных коллективов, Положения о студенческом научном сообществе и др. в 2021 году.</w:t>
      </w:r>
    </w:p>
    <w:p w:rsidR="00BA16EB" w:rsidRPr="00165AD5" w:rsidRDefault="00BA16EB" w:rsidP="00BA16EB">
      <w:pPr>
        <w:spacing w:after="0" w:line="360" w:lineRule="auto"/>
        <w:ind w:firstLine="708"/>
        <w:jc w:val="both"/>
        <w:rPr>
          <w:bCs/>
          <w:szCs w:val="24"/>
        </w:rPr>
      </w:pPr>
      <w:r w:rsidRPr="00165AD5">
        <w:rPr>
          <w:bCs/>
          <w:szCs w:val="24"/>
        </w:rPr>
        <w:t>4. Раздел «Предложения по развитию кадрового потенциала» необходимо качественно переработать, включив в него следующую информацию: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удельный вес НПР, имеющих ученую степень кандидата наук, доктора наук, в общей численности НПР;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доля штатных работников ППС в общей численности ППС;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Необходимо определить следующие подзадачи (ориентировочные) в рамках реализации стратегической задачи: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>развитие системы стимулирования работников;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>повышение квалификации сотрудников вуза в ведущих вузах страны и иностранных вузах-партнерах;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>формирование резерва кадров ППС из числа выдающихся выпускников магистратуры и аспирантуры.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Перечень возможных мероприятий: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заключение партнерских соглашений с ведущими вузами страны и иностранными вузами, предусматривающие стажировки преподавателей, предоставление возможности проведения занятий в рамках отдельных спецкурсов (приглашенные лекторы), привлечение в проектные команды и т.п. в 2021 году;</w:t>
      </w:r>
    </w:p>
    <w:p w:rsidR="00BA16EB" w:rsidRPr="00743C89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 xml:space="preserve">- </w:t>
      </w:r>
      <w:r>
        <w:rPr>
          <w:color w:val="000000"/>
        </w:rPr>
        <w:t>создание и внедрение системы поощрений научно-педагогических работников и административно-управленческого персонала</w:t>
      </w:r>
      <w:r w:rsidRPr="000E058C">
        <w:rPr>
          <w:bCs/>
          <w:szCs w:val="24"/>
        </w:rPr>
        <w:t>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lastRenderedPageBreak/>
        <w:t xml:space="preserve">- </w:t>
      </w:r>
      <w:proofErr w:type="spellStart"/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оздание</w:t>
      </w:r>
      <w:proofErr w:type="spellEnd"/>
      <w:r>
        <w:rPr>
          <w:color w:val="000000"/>
        </w:rPr>
        <w:t xml:space="preserve"> конкурсной системы привлечения и поощрения «</w:t>
      </w:r>
      <w:proofErr w:type="spellStart"/>
      <w:r>
        <w:rPr>
          <w:color w:val="000000"/>
        </w:rPr>
        <w:t>постдоков</w:t>
      </w:r>
      <w:proofErr w:type="spellEnd"/>
      <w:r>
        <w:rPr>
          <w:color w:val="000000"/>
        </w:rPr>
        <w:t>» для исследований по приоритетным направлениям</w:t>
      </w:r>
      <w:r w:rsidRPr="000E058C">
        <w:rPr>
          <w:bCs/>
          <w:szCs w:val="24"/>
        </w:rPr>
        <w:t>;</w:t>
      </w:r>
    </w:p>
    <w:p w:rsidR="00BA16EB" w:rsidRPr="00165AD5" w:rsidRDefault="00BA16EB" w:rsidP="00BA16EB">
      <w:pPr>
        <w:spacing w:after="0" w:line="360" w:lineRule="auto"/>
        <w:ind w:firstLine="708"/>
        <w:jc w:val="both"/>
        <w:rPr>
          <w:bCs/>
          <w:szCs w:val="24"/>
        </w:rPr>
      </w:pPr>
      <w:r w:rsidRPr="00165AD5">
        <w:rPr>
          <w:bCs/>
          <w:szCs w:val="24"/>
        </w:rPr>
        <w:t>5. Расширить количество мероприятий в разделе «Предложения по модернизации материально-технической базы и социально-культурной инфраструктуры»: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создание единого информационного пространства СКГА к 2022 году: реструктуризация корпоративного портала СКГА с введением иерархической системы доступа к ресурсам во всех подразделениях Академии; введение системы электронного документооборота; информатизация образовательной деятельности и управления научно-исследовательской деятельностью;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создание мест общего пользования вычислительной и организационной техникой, систем видеоконференцсвязи со студентами, преподавателями и сотрудниками в 2020-2021 году;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внедрение элементов целевой модели цифровой образовательной среды (оцифровка до 50% учебных курсов);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приобретение и установка не менее 20 современных рабочих станций (для разработчиков) в институте прикладной математики и информационных технологий к 2022 году;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приобретение учебно-лабораторного оборудования для вновь создаваемых Центров и подразделений к 2022 году;</w:t>
      </w:r>
    </w:p>
    <w:p w:rsidR="00BA16EB" w:rsidRPr="00165AD5" w:rsidRDefault="00BA16EB" w:rsidP="00BA16EB">
      <w:pPr>
        <w:spacing w:after="0" w:line="360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>6. Расширить количество меро</w:t>
      </w:r>
      <w:r w:rsidRPr="00165AD5">
        <w:rPr>
          <w:bCs/>
          <w:szCs w:val="24"/>
        </w:rPr>
        <w:t>приятий «Предложения по развитию местных сообществ, городской и региональной среды»: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увеличение числа сотрудников вуза, участвующих в деятельности общественных организаций города и региона до 50%;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 xml:space="preserve">- усиление роли СКГА в СМИ и в сети Интернет в освещении деятельности академии в регионе и за его пределами (рекламные объявления, </w:t>
      </w:r>
      <w:proofErr w:type="spellStart"/>
      <w:r w:rsidRPr="00165AD5">
        <w:rPr>
          <w:bCs/>
          <w:szCs w:val="24"/>
        </w:rPr>
        <w:t>имиджевые</w:t>
      </w:r>
      <w:proofErr w:type="spellEnd"/>
      <w:r w:rsidRPr="00165AD5">
        <w:rPr>
          <w:bCs/>
          <w:szCs w:val="24"/>
        </w:rPr>
        <w:t xml:space="preserve"> статьи и передачи, интервью с преподавателями, руководством вуза, реклама на официальном сайте, организация </w:t>
      </w:r>
      <w:r w:rsidRPr="00165AD5">
        <w:rPr>
          <w:bCs/>
          <w:szCs w:val="24"/>
          <w:lang w:val="en-US"/>
        </w:rPr>
        <w:t>event</w:t>
      </w:r>
      <w:r w:rsidRPr="00165AD5">
        <w:rPr>
          <w:bCs/>
          <w:szCs w:val="24"/>
        </w:rPr>
        <w:t>-мероприятий);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предоставление академией инфраструктуры для организации деятельности местных сообществ,</w:t>
      </w:r>
      <w:r w:rsidRPr="00165AD5">
        <w:rPr>
          <w:szCs w:val="24"/>
        </w:rPr>
        <w:t xml:space="preserve"> </w:t>
      </w:r>
      <w:r w:rsidRPr="00165AD5">
        <w:rPr>
          <w:bCs/>
          <w:szCs w:val="24"/>
        </w:rPr>
        <w:t>реализации социально значимых мероприятий города и региона, позиционирование СКГА как центра общественной жизни и формирование имиджа как социально-ответственного участника территориального развития;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создание при академии некоммерческой организации в целях развития социальных инициатив и образовательных проектов СКГА, например, Ассоциации выпускников СКГА, или Фонда к 2022 году.</w:t>
      </w:r>
    </w:p>
    <w:p w:rsidR="00BA16EB" w:rsidRPr="00165AD5" w:rsidRDefault="00BA16EB" w:rsidP="00BA16EB">
      <w:pPr>
        <w:spacing w:after="0" w:line="360" w:lineRule="auto"/>
        <w:ind w:firstLine="708"/>
        <w:jc w:val="both"/>
        <w:rPr>
          <w:bCs/>
          <w:szCs w:val="24"/>
        </w:rPr>
      </w:pPr>
      <w:r w:rsidRPr="00165AD5">
        <w:rPr>
          <w:bCs/>
          <w:szCs w:val="24"/>
        </w:rPr>
        <w:lastRenderedPageBreak/>
        <w:t xml:space="preserve">7. Необходимо сформировать следующие возможные подзадачи в разделе «Предложения по развитию кооперации с ведущими предприятиями и организациями региона» во исполнение стратегической цели: </w:t>
      </w:r>
    </w:p>
    <w:p w:rsidR="00BA16EB" w:rsidRPr="00165AD5" w:rsidRDefault="00BA16EB" w:rsidP="00BA16EB">
      <w:pPr>
        <w:spacing w:after="0" w:line="360" w:lineRule="auto"/>
        <w:ind w:left="34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>развитие академии как крупнейшего центра подготовки специалистов, востребованных региональным рынком;</w:t>
      </w:r>
    </w:p>
    <w:p w:rsidR="00BA16EB" w:rsidRPr="00165AD5" w:rsidRDefault="00BA16EB" w:rsidP="00BA16EB">
      <w:pPr>
        <w:spacing w:after="0" w:line="360" w:lineRule="auto"/>
        <w:ind w:left="34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165AD5">
        <w:rPr>
          <w:bCs/>
          <w:szCs w:val="24"/>
        </w:rPr>
        <w:t>становление академии как признанного центра повышения квалификации, постдипломного и дополнительного образования, актуального для экономики региона.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Перечень возможных мероприятий: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анкетирование потребностей ключевых контрагентов в разработке новых или корректировки имеющихся программ повышения квалификации и профессиональной переподготовке в 2020 году;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создание на базе академии института региональных исследований для системной аналитической работы в области проблем экономики КЧР в 2022 году;</w:t>
      </w:r>
    </w:p>
    <w:p w:rsidR="00BA16EB" w:rsidRPr="00165AD5" w:rsidRDefault="00BA16EB" w:rsidP="00BA16EB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 xml:space="preserve">- вовлечение представителей </w:t>
      </w:r>
      <w:proofErr w:type="gramStart"/>
      <w:r w:rsidRPr="00165AD5">
        <w:rPr>
          <w:bCs/>
          <w:szCs w:val="24"/>
        </w:rPr>
        <w:t>бизнес-сообществ</w:t>
      </w:r>
      <w:proofErr w:type="gramEnd"/>
      <w:r w:rsidRPr="00165AD5">
        <w:rPr>
          <w:bCs/>
          <w:szCs w:val="24"/>
        </w:rPr>
        <w:t xml:space="preserve"> через общественные советы или попечительский совет СКГА в принятие решений в области образовательной, научной, деятельности СКГА в 2021 году;</w:t>
      </w:r>
    </w:p>
    <w:p w:rsidR="001643BD" w:rsidRDefault="00BA16EB" w:rsidP="001643BD">
      <w:pPr>
        <w:spacing w:after="0" w:line="360" w:lineRule="auto"/>
        <w:jc w:val="both"/>
        <w:rPr>
          <w:bCs/>
          <w:szCs w:val="24"/>
        </w:rPr>
      </w:pPr>
      <w:r w:rsidRPr="00165AD5">
        <w:rPr>
          <w:bCs/>
          <w:szCs w:val="24"/>
        </w:rPr>
        <w:t>- привлечение представителей п</w:t>
      </w:r>
      <w:r>
        <w:rPr>
          <w:bCs/>
          <w:szCs w:val="24"/>
        </w:rPr>
        <w:t xml:space="preserve">отенциальных работодателей КЧР </w:t>
      </w:r>
      <w:r w:rsidRPr="00165AD5">
        <w:rPr>
          <w:bCs/>
          <w:szCs w:val="24"/>
        </w:rPr>
        <w:t xml:space="preserve">не только в рамках традиционных учебных занятий, но и для проведения мастер-классов, </w:t>
      </w:r>
      <w:proofErr w:type="spellStart"/>
      <w:r w:rsidRPr="00165AD5">
        <w:rPr>
          <w:bCs/>
          <w:szCs w:val="24"/>
        </w:rPr>
        <w:t>профориентационных</w:t>
      </w:r>
      <w:proofErr w:type="spellEnd"/>
      <w:r w:rsidRPr="00165AD5">
        <w:rPr>
          <w:bCs/>
          <w:szCs w:val="24"/>
        </w:rPr>
        <w:t xml:space="preserve"> мероприятий, открытых лекций, организации практики, формирования банка проектных заданий, непосредственного руковод</w:t>
      </w:r>
      <w:r w:rsidR="001643BD">
        <w:rPr>
          <w:bCs/>
          <w:szCs w:val="24"/>
        </w:rPr>
        <w:t>ства проектами и др. к 2022 году.</w:t>
      </w:r>
    </w:p>
    <w:p w:rsidR="001643BD" w:rsidRDefault="001643BD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8F4B87" w:rsidRDefault="008F4B87" w:rsidP="001643BD">
      <w:pPr>
        <w:spacing w:after="0" w:line="360" w:lineRule="auto"/>
        <w:jc w:val="both"/>
        <w:rPr>
          <w:bCs/>
          <w:szCs w:val="24"/>
        </w:rPr>
      </w:pPr>
    </w:p>
    <w:p w:rsidR="00C97D29" w:rsidRPr="00B756AA" w:rsidRDefault="001643BD" w:rsidP="001643BD">
      <w:pPr>
        <w:spacing w:after="0" w:line="360" w:lineRule="auto"/>
        <w:jc w:val="both"/>
        <w:rPr>
          <w:b/>
          <w:szCs w:val="24"/>
        </w:rPr>
      </w:pPr>
      <w:r w:rsidRPr="00B756AA">
        <w:rPr>
          <w:b/>
          <w:szCs w:val="24"/>
        </w:rPr>
        <w:lastRenderedPageBreak/>
        <w:t xml:space="preserve"> </w:t>
      </w:r>
      <w:r w:rsidR="00FD6B80" w:rsidRPr="00B756AA">
        <w:rPr>
          <w:b/>
          <w:szCs w:val="24"/>
        </w:rPr>
        <w:t>4</w:t>
      </w:r>
      <w:r w:rsidR="00A54DF7" w:rsidRPr="00B756AA">
        <w:rPr>
          <w:b/>
          <w:szCs w:val="24"/>
        </w:rPr>
        <w:t>. АЛГОРИТМ ДОРАБОТКИ И УТВЕРЖДЕНИЯ ПРОГРАММЫ РАЗВИТИЯ</w:t>
      </w:r>
      <w:bookmarkEnd w:id="6"/>
    </w:p>
    <w:p w:rsidR="003B1AFE" w:rsidRPr="00B756AA" w:rsidRDefault="003B1AFE" w:rsidP="00B756AA">
      <w:pPr>
        <w:pStyle w:val="4"/>
        <w:jc w:val="center"/>
        <w:rPr>
          <w:rFonts w:ascii="Times New Roman" w:hAnsi="Times New Roman" w:cs="Times New Roman"/>
          <w:i w:val="0"/>
          <w:color w:val="auto"/>
          <w:szCs w:val="24"/>
        </w:rPr>
      </w:pPr>
    </w:p>
    <w:p w:rsidR="00DC7F3A" w:rsidRPr="00D738C0" w:rsidRDefault="00DC7F3A" w:rsidP="00DB0703">
      <w:pPr>
        <w:spacing w:after="0" w:line="360" w:lineRule="auto"/>
        <w:ind w:firstLine="709"/>
        <w:jc w:val="both"/>
        <w:rPr>
          <w:szCs w:val="24"/>
        </w:rPr>
      </w:pPr>
      <w:r w:rsidRPr="00D738C0">
        <w:rPr>
          <w:szCs w:val="24"/>
        </w:rPr>
        <w:t xml:space="preserve">Доработка Программы развития предполагает реализацию </w:t>
      </w:r>
      <w:r w:rsidR="000027B9" w:rsidRPr="00D738C0">
        <w:rPr>
          <w:szCs w:val="24"/>
        </w:rPr>
        <w:t>ниже приведенных работ</w:t>
      </w:r>
      <w:r w:rsidR="00BF2CBD">
        <w:rPr>
          <w:szCs w:val="24"/>
        </w:rPr>
        <w:t xml:space="preserve"> в следующей последовательности.</w:t>
      </w:r>
    </w:p>
    <w:p w:rsidR="000027B9" w:rsidRPr="00D738C0" w:rsidRDefault="000027B9" w:rsidP="00DB0703">
      <w:pPr>
        <w:spacing w:after="0" w:line="360" w:lineRule="auto"/>
        <w:ind w:firstLine="709"/>
        <w:jc w:val="both"/>
        <w:rPr>
          <w:szCs w:val="24"/>
        </w:rPr>
      </w:pPr>
      <w:r w:rsidRPr="00D738C0">
        <w:rPr>
          <w:i/>
          <w:szCs w:val="24"/>
        </w:rPr>
        <w:t>1 этап</w:t>
      </w:r>
      <w:r w:rsidRPr="00D738C0">
        <w:rPr>
          <w:szCs w:val="24"/>
        </w:rPr>
        <w:t xml:space="preserve">. </w:t>
      </w:r>
      <w:proofErr w:type="gramStart"/>
      <w:r w:rsidRPr="00D738C0">
        <w:rPr>
          <w:szCs w:val="24"/>
        </w:rPr>
        <w:t xml:space="preserve">Изучение стратегических документов </w:t>
      </w:r>
      <w:r w:rsidR="00081727" w:rsidRPr="00081727">
        <w:rPr>
          <w:szCs w:val="24"/>
        </w:rPr>
        <w:t>(</w:t>
      </w:r>
      <w:r w:rsidR="001C349F">
        <w:rPr>
          <w:szCs w:val="24"/>
        </w:rPr>
        <w:t>Инвестиционной стратегии</w:t>
      </w:r>
      <w:r w:rsidR="00081727" w:rsidRPr="00081727">
        <w:rPr>
          <w:szCs w:val="24"/>
        </w:rPr>
        <w:t xml:space="preserve"> Карачаево-Чер</w:t>
      </w:r>
      <w:r w:rsidR="001C349F">
        <w:rPr>
          <w:szCs w:val="24"/>
        </w:rPr>
        <w:t xml:space="preserve">кесской Республики до 2025 года </w:t>
      </w:r>
      <w:r w:rsidR="00081727" w:rsidRPr="00081727">
        <w:rPr>
          <w:szCs w:val="24"/>
        </w:rPr>
        <w:t>[Утверждена Указом Главы Карачаево-Черкесской Респу</w:t>
      </w:r>
      <w:r w:rsidR="00081727">
        <w:rPr>
          <w:szCs w:val="24"/>
        </w:rPr>
        <w:t xml:space="preserve">блики от 7 мая 2013 года № 124], </w:t>
      </w:r>
      <w:r w:rsidR="00552E9D">
        <w:rPr>
          <w:szCs w:val="24"/>
        </w:rPr>
        <w:t>Приложения</w:t>
      </w:r>
      <w:r w:rsidR="00081727" w:rsidRPr="00081727">
        <w:rPr>
          <w:szCs w:val="24"/>
        </w:rPr>
        <w:t xml:space="preserve"> к постановлению Правительства Карачаево-Черкесской Республики от 26.08.2014 № 239</w:t>
      </w:r>
      <w:r w:rsidR="00F4787D">
        <w:rPr>
          <w:szCs w:val="24"/>
        </w:rPr>
        <w:t xml:space="preserve"> «</w:t>
      </w:r>
      <w:r w:rsidR="00F4787D" w:rsidRPr="00081727">
        <w:rPr>
          <w:szCs w:val="24"/>
        </w:rPr>
        <w:t>Стратегия социально-экономического анализа Карачаев</w:t>
      </w:r>
      <w:r w:rsidR="00F4787D">
        <w:rPr>
          <w:szCs w:val="24"/>
        </w:rPr>
        <w:t>о-Черкесской Республики до 2035»</w:t>
      </w:r>
      <w:r w:rsidR="00081727" w:rsidRPr="00081727">
        <w:rPr>
          <w:szCs w:val="24"/>
        </w:rPr>
        <w:t>,</w:t>
      </w:r>
      <w:r w:rsidRPr="00D738C0">
        <w:rPr>
          <w:szCs w:val="24"/>
        </w:rPr>
        <w:t xml:space="preserve"> проект</w:t>
      </w:r>
      <w:r w:rsidR="00FF71D1" w:rsidRPr="00D738C0">
        <w:rPr>
          <w:szCs w:val="24"/>
        </w:rPr>
        <w:t>а Методических рекомендаций Федеральной службы по надзору в сфере защиты прав потребителей и благополучия человека МР 3.1/2.1.0205-20 «Рекомендации по профилактике новой</w:t>
      </w:r>
      <w:proofErr w:type="gramEnd"/>
      <w:r w:rsidR="00FF71D1" w:rsidRPr="00D738C0">
        <w:rPr>
          <w:szCs w:val="24"/>
        </w:rPr>
        <w:t xml:space="preserve"> </w:t>
      </w:r>
      <w:proofErr w:type="spellStart"/>
      <w:proofErr w:type="gramStart"/>
      <w:r w:rsidR="00FF71D1" w:rsidRPr="00D738C0">
        <w:rPr>
          <w:szCs w:val="24"/>
        </w:rPr>
        <w:t>коронавирусной</w:t>
      </w:r>
      <w:proofErr w:type="spellEnd"/>
      <w:r w:rsidR="00FF71D1" w:rsidRPr="00D738C0">
        <w:rPr>
          <w:szCs w:val="24"/>
        </w:rPr>
        <w:t xml:space="preserve"> инфекции (</w:t>
      </w:r>
      <w:r w:rsidR="00FF71D1" w:rsidRPr="00D738C0">
        <w:rPr>
          <w:szCs w:val="24"/>
          <w:lang w:val="en-US"/>
        </w:rPr>
        <w:t>COVID</w:t>
      </w:r>
      <w:r w:rsidR="00FF71D1" w:rsidRPr="00D738C0">
        <w:rPr>
          <w:szCs w:val="24"/>
        </w:rPr>
        <w:t>-19)</w:t>
      </w:r>
      <w:r w:rsidRPr="00D738C0">
        <w:rPr>
          <w:szCs w:val="24"/>
        </w:rPr>
        <w:t xml:space="preserve"> </w:t>
      </w:r>
      <w:r w:rsidR="00FF71D1" w:rsidRPr="00D738C0">
        <w:rPr>
          <w:szCs w:val="24"/>
        </w:rPr>
        <w:t>в образовательных организациях высшего образования» и др.), которые могут касаться деятельности ФГБОУ ВО «</w:t>
      </w:r>
      <w:r w:rsidR="00081727">
        <w:rPr>
          <w:szCs w:val="24"/>
        </w:rPr>
        <w:t>Северо-Кавказская государственная академия</w:t>
      </w:r>
      <w:r w:rsidR="00FF71D1" w:rsidRPr="00D738C0">
        <w:rPr>
          <w:szCs w:val="24"/>
        </w:rPr>
        <w:t>».</w:t>
      </w:r>
      <w:proofErr w:type="gramEnd"/>
    </w:p>
    <w:p w:rsidR="00FF71D1" w:rsidRPr="00D738C0" w:rsidRDefault="00FF71D1" w:rsidP="00DB0703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i/>
          <w:color w:val="000000" w:themeColor="text1"/>
          <w:szCs w:val="24"/>
          <w:lang w:eastAsia="ru-RU"/>
        </w:rPr>
        <w:t>2 этап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. </w:t>
      </w:r>
      <w:r w:rsidR="00401F99">
        <w:rPr>
          <w:rFonts w:eastAsia="Times New Roman"/>
          <w:color w:val="000000" w:themeColor="text1"/>
          <w:szCs w:val="24"/>
          <w:lang w:eastAsia="ru-RU"/>
        </w:rPr>
        <w:t>Проведение</w:t>
      </w:r>
      <w:r w:rsidR="00493915">
        <w:rPr>
          <w:rFonts w:eastAsia="Times New Roman"/>
          <w:color w:val="000000" w:themeColor="text1"/>
          <w:szCs w:val="24"/>
          <w:lang w:eastAsia="ru-RU"/>
        </w:rPr>
        <w:t xml:space="preserve"> д</w:t>
      </w:r>
      <w:r w:rsidR="00401F99">
        <w:rPr>
          <w:rFonts w:eastAsia="Times New Roman"/>
          <w:color w:val="000000" w:themeColor="text1"/>
          <w:szCs w:val="24"/>
          <w:lang w:eastAsia="ru-RU"/>
        </w:rPr>
        <w:t>етального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анализ</w:t>
      </w:r>
      <w:r w:rsidR="00401F99">
        <w:rPr>
          <w:rFonts w:eastAsia="Times New Roman"/>
          <w:color w:val="000000" w:themeColor="text1"/>
          <w:szCs w:val="24"/>
          <w:lang w:eastAsia="ru-RU"/>
        </w:rPr>
        <w:t>а изменений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внутренней среды университета в 2019/2020 учебном году, выяв</w:t>
      </w:r>
      <w:r w:rsidR="00401F99">
        <w:rPr>
          <w:rFonts w:eastAsia="Times New Roman"/>
          <w:color w:val="000000" w:themeColor="text1"/>
          <w:szCs w:val="24"/>
          <w:lang w:eastAsia="ru-RU"/>
        </w:rPr>
        <w:t>ление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причин </w:t>
      </w:r>
      <w:proofErr w:type="spellStart"/>
      <w:r w:rsidRPr="00D738C0">
        <w:rPr>
          <w:rFonts w:eastAsia="Times New Roman"/>
          <w:color w:val="000000" w:themeColor="text1"/>
          <w:szCs w:val="24"/>
          <w:lang w:eastAsia="ru-RU"/>
        </w:rPr>
        <w:t>недостижения</w:t>
      </w:r>
      <w:proofErr w:type="spellEnd"/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в 2019 году пороговых значений показателей эффективности, установленных </w:t>
      </w:r>
      <w:proofErr w:type="spellStart"/>
      <w:r w:rsidRPr="00D738C0">
        <w:rPr>
          <w:rFonts w:eastAsia="Times New Roman"/>
          <w:color w:val="000000" w:themeColor="text1"/>
          <w:szCs w:val="24"/>
          <w:lang w:eastAsia="ru-RU"/>
        </w:rPr>
        <w:t>Минобрнауки</w:t>
      </w:r>
      <w:proofErr w:type="spellEnd"/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России в 2018 году. </w:t>
      </w:r>
    </w:p>
    <w:p w:rsidR="007072CA" w:rsidRPr="00D738C0" w:rsidRDefault="007072CA" w:rsidP="00DB0703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i/>
          <w:color w:val="000000" w:themeColor="text1"/>
          <w:szCs w:val="24"/>
          <w:lang w:eastAsia="ru-RU"/>
        </w:rPr>
        <w:t>3 этап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. </w:t>
      </w:r>
      <w:r w:rsidR="00401F99">
        <w:rPr>
          <w:rFonts w:eastAsia="Times New Roman"/>
          <w:color w:val="000000" w:themeColor="text1"/>
          <w:szCs w:val="24"/>
          <w:lang w:eastAsia="ru-RU"/>
        </w:rPr>
        <w:t>Осуществление</w:t>
      </w:r>
      <w:r w:rsidR="00493915">
        <w:rPr>
          <w:rFonts w:eastAsia="Times New Roman"/>
          <w:color w:val="000000" w:themeColor="text1"/>
          <w:szCs w:val="24"/>
          <w:lang w:eastAsia="ru-RU"/>
        </w:rPr>
        <w:t xml:space="preserve"> п</w:t>
      </w:r>
      <w:r w:rsidR="00401F99">
        <w:rPr>
          <w:rFonts w:eastAsia="Times New Roman"/>
          <w:color w:val="000000" w:themeColor="text1"/>
          <w:szCs w:val="24"/>
          <w:lang w:eastAsia="ru-RU"/>
        </w:rPr>
        <w:t>рогнозирования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влияния выявленных факторов внешней и внутренней среды на результаты работы Университета по основным видам деятельности, нашедшим отражение в Программе развития.</w:t>
      </w:r>
    </w:p>
    <w:p w:rsidR="007072CA" w:rsidRPr="00D738C0" w:rsidRDefault="007072CA" w:rsidP="00DB0703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i/>
          <w:color w:val="000000" w:themeColor="text1"/>
          <w:szCs w:val="24"/>
          <w:lang w:eastAsia="ru-RU"/>
        </w:rPr>
        <w:t>4 этап</w:t>
      </w:r>
      <w:r w:rsidRPr="00D738C0">
        <w:rPr>
          <w:rFonts w:eastAsia="Times New Roman"/>
          <w:color w:val="000000" w:themeColor="text1"/>
          <w:szCs w:val="24"/>
          <w:lang w:eastAsia="ru-RU"/>
        </w:rPr>
        <w:t>. Доработ</w:t>
      </w:r>
      <w:r w:rsidR="00401F99">
        <w:rPr>
          <w:rFonts w:eastAsia="Times New Roman"/>
          <w:color w:val="000000" w:themeColor="text1"/>
          <w:szCs w:val="24"/>
          <w:lang w:eastAsia="ru-RU"/>
        </w:rPr>
        <w:t>ка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раздел</w:t>
      </w:r>
      <w:r w:rsidR="00401F99">
        <w:rPr>
          <w:rFonts w:eastAsia="Times New Roman"/>
          <w:color w:val="000000" w:themeColor="text1"/>
          <w:szCs w:val="24"/>
          <w:lang w:eastAsia="ru-RU"/>
        </w:rPr>
        <w:t>ов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Программы развития с учетом результатов составленного прогноза.</w:t>
      </w:r>
    </w:p>
    <w:p w:rsidR="007072CA" w:rsidRPr="00D738C0" w:rsidRDefault="007072CA" w:rsidP="00DB0703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D738C0">
        <w:rPr>
          <w:rFonts w:eastAsia="Times New Roman"/>
          <w:i/>
          <w:color w:val="000000" w:themeColor="text1"/>
          <w:szCs w:val="24"/>
          <w:lang w:eastAsia="ru-RU"/>
        </w:rPr>
        <w:t xml:space="preserve"> 5 этап</w:t>
      </w:r>
      <w:r w:rsidRPr="00D738C0">
        <w:rPr>
          <w:rFonts w:eastAsia="Times New Roman"/>
          <w:color w:val="000000" w:themeColor="text1"/>
          <w:szCs w:val="24"/>
          <w:lang w:eastAsia="ru-RU"/>
        </w:rPr>
        <w:t>. Прове</w:t>
      </w:r>
      <w:r w:rsidR="00401F99">
        <w:rPr>
          <w:rFonts w:eastAsia="Times New Roman"/>
          <w:color w:val="000000" w:themeColor="text1"/>
          <w:szCs w:val="24"/>
          <w:lang w:eastAsia="ru-RU"/>
        </w:rPr>
        <w:t>дение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независим</w:t>
      </w:r>
      <w:r w:rsidR="00401F99">
        <w:rPr>
          <w:rFonts w:eastAsia="Times New Roman"/>
          <w:color w:val="000000" w:themeColor="text1"/>
          <w:szCs w:val="24"/>
          <w:lang w:eastAsia="ru-RU"/>
        </w:rPr>
        <w:t>ой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экспертиз</w:t>
      </w:r>
      <w:r w:rsidR="00401F99">
        <w:rPr>
          <w:rFonts w:eastAsia="Times New Roman"/>
          <w:color w:val="000000" w:themeColor="text1"/>
          <w:szCs w:val="24"/>
          <w:lang w:eastAsia="ru-RU"/>
        </w:rPr>
        <w:t>ы</w:t>
      </w:r>
      <w:r w:rsidRPr="00D738C0">
        <w:rPr>
          <w:rFonts w:eastAsia="Times New Roman"/>
          <w:color w:val="000000" w:themeColor="text1"/>
          <w:szCs w:val="24"/>
          <w:lang w:eastAsia="ru-RU"/>
        </w:rPr>
        <w:t xml:space="preserve"> доработанной Программы развития.</w:t>
      </w:r>
    </w:p>
    <w:p w:rsidR="007072CA" w:rsidRPr="002A5BA2" w:rsidRDefault="002A5BA2" w:rsidP="00DB0703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i/>
          <w:color w:val="000000" w:themeColor="text1"/>
          <w:szCs w:val="24"/>
          <w:lang w:eastAsia="ru-RU"/>
        </w:rPr>
        <w:t xml:space="preserve"> </w:t>
      </w:r>
      <w:r w:rsidR="007072CA" w:rsidRPr="002A5BA2">
        <w:rPr>
          <w:rFonts w:eastAsia="Times New Roman"/>
          <w:i/>
          <w:color w:val="000000" w:themeColor="text1"/>
          <w:szCs w:val="24"/>
          <w:lang w:eastAsia="ru-RU"/>
        </w:rPr>
        <w:t>6 этап</w:t>
      </w:r>
      <w:r w:rsidR="007072CA" w:rsidRPr="002A5BA2">
        <w:rPr>
          <w:rFonts w:eastAsia="Times New Roman"/>
          <w:color w:val="000000" w:themeColor="text1"/>
          <w:szCs w:val="24"/>
          <w:lang w:eastAsia="ru-RU"/>
        </w:rPr>
        <w:t>. Согласова</w:t>
      </w:r>
      <w:r w:rsidR="00401F99">
        <w:rPr>
          <w:rFonts w:eastAsia="Times New Roman"/>
          <w:color w:val="000000" w:themeColor="text1"/>
          <w:szCs w:val="24"/>
          <w:lang w:eastAsia="ru-RU"/>
        </w:rPr>
        <w:t>ние</w:t>
      </w:r>
      <w:r w:rsidR="007072CA" w:rsidRPr="002A5BA2">
        <w:rPr>
          <w:rFonts w:eastAsia="Times New Roman"/>
          <w:color w:val="000000" w:themeColor="text1"/>
          <w:szCs w:val="24"/>
          <w:lang w:eastAsia="ru-RU"/>
        </w:rPr>
        <w:t xml:space="preserve"> доработанн</w:t>
      </w:r>
      <w:r w:rsidR="00401F99">
        <w:rPr>
          <w:rFonts w:eastAsia="Times New Roman"/>
          <w:color w:val="000000" w:themeColor="text1"/>
          <w:szCs w:val="24"/>
          <w:lang w:eastAsia="ru-RU"/>
        </w:rPr>
        <w:t>ой</w:t>
      </w:r>
      <w:r w:rsidR="007072CA" w:rsidRPr="002A5BA2">
        <w:rPr>
          <w:rFonts w:eastAsia="Times New Roman"/>
          <w:color w:val="000000" w:themeColor="text1"/>
          <w:szCs w:val="24"/>
          <w:lang w:eastAsia="ru-RU"/>
        </w:rPr>
        <w:t xml:space="preserve"> Программ</w:t>
      </w:r>
      <w:r w:rsidR="00493915">
        <w:rPr>
          <w:rFonts w:eastAsia="Times New Roman"/>
          <w:color w:val="000000" w:themeColor="text1"/>
          <w:szCs w:val="24"/>
          <w:lang w:eastAsia="ru-RU"/>
        </w:rPr>
        <w:t>у</w:t>
      </w:r>
      <w:r w:rsidR="007072CA" w:rsidRPr="002A5BA2">
        <w:rPr>
          <w:rFonts w:eastAsia="Times New Roman"/>
          <w:color w:val="000000" w:themeColor="text1"/>
          <w:szCs w:val="24"/>
          <w:lang w:eastAsia="ru-RU"/>
        </w:rPr>
        <w:t xml:space="preserve"> развития </w:t>
      </w:r>
      <w:r w:rsidR="007864E8">
        <w:rPr>
          <w:rFonts w:eastAsia="Times New Roman"/>
          <w:color w:val="000000" w:themeColor="text1"/>
          <w:szCs w:val="24"/>
          <w:lang w:eastAsia="ru-RU"/>
        </w:rPr>
        <w:t xml:space="preserve">с </w:t>
      </w:r>
      <w:r w:rsidR="007256CF">
        <w:rPr>
          <w:rFonts w:eastAsia="Times New Roman"/>
          <w:color w:val="000000" w:themeColor="text1"/>
          <w:szCs w:val="24"/>
          <w:lang w:eastAsia="ru-RU"/>
        </w:rPr>
        <w:t>у</w:t>
      </w:r>
      <w:r w:rsidR="007072CA" w:rsidRPr="002A5BA2">
        <w:rPr>
          <w:rFonts w:eastAsia="Times New Roman"/>
          <w:color w:val="000000" w:themeColor="text1"/>
          <w:szCs w:val="24"/>
          <w:lang w:eastAsia="ru-RU"/>
        </w:rPr>
        <w:t>чредителе</w:t>
      </w:r>
      <w:r w:rsidR="00D738C0" w:rsidRPr="002A5BA2">
        <w:rPr>
          <w:rFonts w:eastAsia="Times New Roman"/>
          <w:color w:val="000000" w:themeColor="text1"/>
          <w:szCs w:val="24"/>
          <w:lang w:eastAsia="ru-RU"/>
        </w:rPr>
        <w:t xml:space="preserve">м </w:t>
      </w:r>
      <w:r w:rsidR="007072CA" w:rsidRPr="002A5BA2">
        <w:rPr>
          <w:rFonts w:eastAsia="Times New Roman"/>
          <w:color w:val="000000" w:themeColor="text1"/>
          <w:szCs w:val="24"/>
          <w:lang w:eastAsia="ru-RU"/>
        </w:rPr>
        <w:t>- Министерством науки и высшего образования Российской Федерации.</w:t>
      </w:r>
    </w:p>
    <w:p w:rsidR="00B34DA1" w:rsidRDefault="007072CA" w:rsidP="001643BD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2A5BA2">
        <w:rPr>
          <w:rFonts w:eastAsia="Times New Roman"/>
          <w:i/>
          <w:color w:val="000000" w:themeColor="text1"/>
          <w:szCs w:val="24"/>
          <w:lang w:eastAsia="ru-RU"/>
        </w:rPr>
        <w:t>7 этап</w:t>
      </w:r>
      <w:r w:rsidRPr="002A5BA2">
        <w:rPr>
          <w:rFonts w:eastAsia="Times New Roman"/>
          <w:color w:val="000000" w:themeColor="text1"/>
          <w:szCs w:val="24"/>
          <w:lang w:eastAsia="ru-RU"/>
        </w:rPr>
        <w:t xml:space="preserve">. </w:t>
      </w:r>
      <w:r w:rsidR="00401F99">
        <w:rPr>
          <w:rFonts w:eastAsia="Times New Roman"/>
          <w:color w:val="000000" w:themeColor="text1"/>
          <w:szCs w:val="24"/>
          <w:lang w:eastAsia="ru-RU"/>
        </w:rPr>
        <w:t>Рассмотрение</w:t>
      </w:r>
      <w:r w:rsidRPr="002A5BA2">
        <w:rPr>
          <w:rFonts w:eastAsia="Times New Roman"/>
          <w:color w:val="000000" w:themeColor="text1"/>
          <w:szCs w:val="24"/>
          <w:lang w:eastAsia="ru-RU"/>
        </w:rPr>
        <w:t xml:space="preserve"> доработанн</w:t>
      </w:r>
      <w:r w:rsidR="00401F99">
        <w:rPr>
          <w:rFonts w:eastAsia="Times New Roman"/>
          <w:color w:val="000000" w:themeColor="text1"/>
          <w:szCs w:val="24"/>
          <w:lang w:eastAsia="ru-RU"/>
        </w:rPr>
        <w:t>ой</w:t>
      </w:r>
      <w:r w:rsidRPr="002A5BA2">
        <w:rPr>
          <w:rFonts w:eastAsia="Times New Roman"/>
          <w:color w:val="000000" w:themeColor="text1"/>
          <w:szCs w:val="24"/>
          <w:lang w:eastAsia="ru-RU"/>
        </w:rPr>
        <w:t xml:space="preserve"> Программ</w:t>
      </w:r>
      <w:r w:rsidR="00401F99">
        <w:rPr>
          <w:rFonts w:eastAsia="Times New Roman"/>
          <w:color w:val="000000" w:themeColor="text1"/>
          <w:szCs w:val="24"/>
          <w:lang w:eastAsia="ru-RU"/>
        </w:rPr>
        <w:t>ы</w:t>
      </w:r>
      <w:r w:rsidRPr="002A5BA2">
        <w:rPr>
          <w:rFonts w:eastAsia="Times New Roman"/>
          <w:color w:val="000000" w:themeColor="text1"/>
          <w:szCs w:val="24"/>
          <w:lang w:eastAsia="ru-RU"/>
        </w:rPr>
        <w:t xml:space="preserve"> развития на Ученом совете Университета и </w:t>
      </w:r>
      <w:r w:rsidR="00401F99">
        <w:rPr>
          <w:rFonts w:eastAsia="Times New Roman"/>
          <w:color w:val="000000" w:themeColor="text1"/>
          <w:szCs w:val="24"/>
          <w:lang w:eastAsia="ru-RU"/>
        </w:rPr>
        <w:t>утверждение</w:t>
      </w:r>
      <w:r w:rsidRPr="002A5BA2">
        <w:rPr>
          <w:rFonts w:eastAsia="Times New Roman"/>
          <w:color w:val="000000" w:themeColor="text1"/>
          <w:szCs w:val="24"/>
          <w:lang w:eastAsia="ru-RU"/>
        </w:rPr>
        <w:t xml:space="preserve"> её </w:t>
      </w:r>
      <w:r w:rsidR="007256CF">
        <w:rPr>
          <w:rFonts w:eastAsia="Times New Roman"/>
          <w:color w:val="000000" w:themeColor="text1"/>
          <w:szCs w:val="24"/>
          <w:lang w:eastAsia="ru-RU"/>
        </w:rPr>
        <w:t xml:space="preserve">приказом </w:t>
      </w:r>
      <w:r w:rsidRPr="002A5BA2">
        <w:rPr>
          <w:rFonts w:eastAsia="Times New Roman"/>
          <w:color w:val="000000" w:themeColor="text1"/>
          <w:szCs w:val="24"/>
          <w:lang w:eastAsia="ru-RU"/>
        </w:rPr>
        <w:t>ректор</w:t>
      </w:r>
      <w:r w:rsidR="007256CF">
        <w:rPr>
          <w:rFonts w:eastAsia="Times New Roman"/>
          <w:color w:val="000000" w:themeColor="text1"/>
          <w:szCs w:val="24"/>
          <w:lang w:eastAsia="ru-RU"/>
        </w:rPr>
        <w:t>а</w:t>
      </w:r>
      <w:r w:rsidRPr="002A5BA2">
        <w:rPr>
          <w:rFonts w:eastAsia="Times New Roman"/>
          <w:color w:val="000000" w:themeColor="text1"/>
          <w:szCs w:val="24"/>
          <w:lang w:eastAsia="ru-RU"/>
        </w:rPr>
        <w:t>.</w:t>
      </w:r>
    </w:p>
    <w:p w:rsidR="00B34DA1" w:rsidRDefault="00B34DA1" w:rsidP="00DB0703">
      <w:pPr>
        <w:spacing w:after="0" w:line="36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E768E8" w:rsidRDefault="00E768E8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</w:p>
    <w:p w:rsidR="00E768E8" w:rsidRDefault="00E768E8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</w:p>
    <w:p w:rsidR="00E768E8" w:rsidRDefault="00E768E8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</w:p>
    <w:p w:rsidR="00E768E8" w:rsidRDefault="00E768E8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</w:p>
    <w:p w:rsidR="00E768E8" w:rsidRDefault="00E768E8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</w:p>
    <w:p w:rsidR="00E768E8" w:rsidRDefault="00E768E8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</w:p>
    <w:p w:rsidR="00E768E8" w:rsidRDefault="00E768E8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</w:p>
    <w:p w:rsidR="00B34DA1" w:rsidRDefault="00B34DA1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  <w:r w:rsidRPr="00B34DA1">
        <w:rPr>
          <w:rFonts w:eastAsiaTheme="majorEastAsia"/>
          <w:b/>
          <w:szCs w:val="24"/>
        </w:rPr>
        <w:lastRenderedPageBreak/>
        <w:t>5.</w:t>
      </w:r>
      <w:r>
        <w:rPr>
          <w:rFonts w:eastAsiaTheme="majorEastAsia"/>
          <w:b/>
          <w:szCs w:val="24"/>
        </w:rPr>
        <w:t xml:space="preserve"> </w:t>
      </w:r>
      <w:r w:rsidRPr="00B34DA1">
        <w:rPr>
          <w:rFonts w:eastAsiaTheme="majorEastAsia"/>
          <w:b/>
          <w:szCs w:val="24"/>
        </w:rPr>
        <w:t>ОЖИДАЕМЫЕ РЕЗУЛЬТАТЫ</w:t>
      </w:r>
    </w:p>
    <w:p w:rsidR="00B34DA1" w:rsidRDefault="00B34DA1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</w:p>
    <w:p w:rsidR="00B34DA1" w:rsidRPr="00B34DA1" w:rsidRDefault="005226ED" w:rsidP="00A9052A">
      <w:pPr>
        <w:pStyle w:val="a3"/>
        <w:numPr>
          <w:ilvl w:val="0"/>
          <w:numId w:val="16"/>
        </w:numPr>
        <w:spacing w:after="0" w:line="360" w:lineRule="auto"/>
        <w:ind w:left="284" w:firstLine="567"/>
        <w:jc w:val="both"/>
        <w:rPr>
          <w:rFonts w:eastAsiaTheme="majorEastAsia"/>
          <w:b/>
          <w:szCs w:val="24"/>
        </w:rPr>
      </w:pPr>
      <w:r>
        <w:t>Наличие оглавления и в</w:t>
      </w:r>
      <w:r w:rsidR="00B34DA1">
        <w:t>ведение дополнительных разделов позволит усовершенствовать структуру документа и обозначить определенные исторически сформировавшиеся предпосылки развития академии, на которых базируются выводы и предложения в последующих разделах программы</w:t>
      </w:r>
      <w:r w:rsidR="00A9052A">
        <w:t>.</w:t>
      </w:r>
    </w:p>
    <w:p w:rsidR="00B34DA1" w:rsidRPr="00B34DA1" w:rsidRDefault="00B34DA1" w:rsidP="00A9052A">
      <w:pPr>
        <w:pStyle w:val="a3"/>
        <w:numPr>
          <w:ilvl w:val="0"/>
          <w:numId w:val="16"/>
        </w:numPr>
        <w:spacing w:after="0" w:line="360" w:lineRule="auto"/>
        <w:ind w:left="284" w:firstLine="567"/>
        <w:jc w:val="both"/>
        <w:rPr>
          <w:rFonts w:eastAsiaTheme="majorEastAsia"/>
          <w:b/>
          <w:szCs w:val="24"/>
        </w:rPr>
      </w:pPr>
      <w:r>
        <w:t>Отсылка на конкретную стратегическую задачу в каждом из разделов позволит обеспечить точное соответствие между разделами в рамках цепочки «Стратегическая задача – подзадачи – блоки мероприятий (мероприятия) – ожидаемые результаты»</w:t>
      </w:r>
      <w:r w:rsidR="00A9052A">
        <w:t>.</w:t>
      </w:r>
    </w:p>
    <w:p w:rsidR="00B34DA1" w:rsidRDefault="00B34DA1" w:rsidP="00A9052A">
      <w:pPr>
        <w:pStyle w:val="a3"/>
        <w:numPr>
          <w:ilvl w:val="0"/>
          <w:numId w:val="16"/>
        </w:numPr>
        <w:spacing w:after="0" w:line="360" w:lineRule="auto"/>
        <w:ind w:left="284" w:firstLine="567"/>
        <w:jc w:val="both"/>
      </w:pPr>
      <w:r>
        <w:t xml:space="preserve">Структурирование и </w:t>
      </w:r>
      <w:proofErr w:type="spellStart"/>
      <w:r>
        <w:t>приоритезация</w:t>
      </w:r>
      <w:proofErr w:type="spellEnd"/>
      <w:r>
        <w:t xml:space="preserve"> мероприятий позволит выстроить п</w:t>
      </w:r>
      <w:r w:rsidR="002C6EEC">
        <w:t>оследовательность их реализации</w:t>
      </w:r>
      <w:r>
        <w:t xml:space="preserve"> с учетом их трудоемкости и эффективности с точки зрения развития академии.</w:t>
      </w:r>
    </w:p>
    <w:p w:rsidR="00B34DA1" w:rsidRPr="00B34DA1" w:rsidRDefault="00B34DA1" w:rsidP="005226ED">
      <w:pPr>
        <w:spacing w:after="0" w:line="360" w:lineRule="auto"/>
        <w:ind w:left="360"/>
        <w:jc w:val="both"/>
        <w:rPr>
          <w:rFonts w:eastAsiaTheme="majorEastAsia"/>
          <w:b/>
          <w:szCs w:val="24"/>
        </w:rPr>
      </w:pPr>
      <w:r>
        <w:t xml:space="preserve">      Включение описания рассматриваемых мероприятий позволит четко определить желаемые результаты от их реализации по каждому из блоков.</w:t>
      </w:r>
    </w:p>
    <w:p w:rsidR="00B34DA1" w:rsidRPr="00B34DA1" w:rsidRDefault="00B34DA1" w:rsidP="00B34DA1">
      <w:pPr>
        <w:spacing w:after="0" w:line="360" w:lineRule="auto"/>
        <w:jc w:val="center"/>
        <w:rPr>
          <w:rFonts w:eastAsiaTheme="majorEastAsia"/>
          <w:b/>
          <w:szCs w:val="24"/>
        </w:rPr>
      </w:pPr>
    </w:p>
    <w:p w:rsidR="000027B9" w:rsidRPr="00D738C0" w:rsidRDefault="000027B9" w:rsidP="000027B9">
      <w:pPr>
        <w:spacing w:line="360" w:lineRule="auto"/>
        <w:rPr>
          <w:szCs w:val="24"/>
        </w:rPr>
      </w:pPr>
    </w:p>
    <w:p w:rsidR="000027B9" w:rsidRPr="00D738C0" w:rsidRDefault="000027B9" w:rsidP="003B1AFE">
      <w:pPr>
        <w:rPr>
          <w:szCs w:val="24"/>
        </w:rPr>
      </w:pPr>
    </w:p>
    <w:p w:rsidR="00B760DF" w:rsidRDefault="00B760DF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782CB3" w:rsidRDefault="00782CB3">
      <w:pPr>
        <w:rPr>
          <w:szCs w:val="24"/>
        </w:rPr>
      </w:pPr>
    </w:p>
    <w:p w:rsidR="00DB0703" w:rsidRPr="00D738C0" w:rsidRDefault="00DB0703">
      <w:pPr>
        <w:rPr>
          <w:szCs w:val="24"/>
        </w:rPr>
      </w:pPr>
    </w:p>
    <w:p w:rsidR="00A10256" w:rsidRPr="00D738C0" w:rsidRDefault="00A10256">
      <w:pPr>
        <w:rPr>
          <w:szCs w:val="24"/>
        </w:rPr>
      </w:pPr>
    </w:p>
    <w:p w:rsidR="00A54DF7" w:rsidRPr="00B756AA" w:rsidRDefault="00F666ED" w:rsidP="00B756A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918186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6. </w:t>
      </w:r>
      <w:r w:rsidR="00A54DF7" w:rsidRPr="00B756AA">
        <w:rPr>
          <w:rFonts w:ascii="Times New Roman" w:hAnsi="Times New Roman" w:cs="Times New Roman"/>
          <w:b/>
          <w:color w:val="auto"/>
          <w:sz w:val="24"/>
          <w:szCs w:val="24"/>
        </w:rPr>
        <w:t>ЗАКЛЮЧЕНИЕ</w:t>
      </w:r>
      <w:bookmarkEnd w:id="7"/>
    </w:p>
    <w:p w:rsidR="006177FC" w:rsidRPr="00D738C0" w:rsidRDefault="006177FC" w:rsidP="00DB0703">
      <w:pPr>
        <w:spacing w:after="0" w:line="360" w:lineRule="auto"/>
        <w:jc w:val="both"/>
        <w:rPr>
          <w:szCs w:val="24"/>
        </w:rPr>
      </w:pPr>
    </w:p>
    <w:p w:rsidR="006177FC" w:rsidRPr="00D738C0" w:rsidRDefault="00D738C0" w:rsidP="00DB0703">
      <w:pPr>
        <w:spacing w:after="0" w:line="360" w:lineRule="auto"/>
        <w:jc w:val="both"/>
        <w:rPr>
          <w:szCs w:val="24"/>
        </w:rPr>
      </w:pPr>
      <w:r w:rsidRPr="00D738C0">
        <w:rPr>
          <w:szCs w:val="24"/>
        </w:rPr>
        <w:t xml:space="preserve">            Настоящие </w:t>
      </w:r>
      <w:r w:rsidR="007864E8">
        <w:rPr>
          <w:szCs w:val="24"/>
        </w:rPr>
        <w:t>М</w:t>
      </w:r>
      <w:r w:rsidRPr="00D738C0">
        <w:rPr>
          <w:szCs w:val="24"/>
        </w:rPr>
        <w:t xml:space="preserve">етодические рекомендации являются обязательными к использованию при доработке «Программы развития ФГБОУ </w:t>
      </w:r>
      <w:proofErr w:type="gramStart"/>
      <w:r w:rsidRPr="00D738C0">
        <w:rPr>
          <w:szCs w:val="24"/>
        </w:rPr>
        <w:t>ВО</w:t>
      </w:r>
      <w:proofErr w:type="gramEnd"/>
      <w:r w:rsidRPr="00D738C0">
        <w:rPr>
          <w:szCs w:val="24"/>
        </w:rPr>
        <w:t xml:space="preserve"> «</w:t>
      </w:r>
      <w:proofErr w:type="gramStart"/>
      <w:r w:rsidR="009E4B4D">
        <w:rPr>
          <w:szCs w:val="24"/>
        </w:rPr>
        <w:t>Северо-Кавказская</w:t>
      </w:r>
      <w:proofErr w:type="gramEnd"/>
      <w:r w:rsidR="009E4B4D">
        <w:rPr>
          <w:szCs w:val="24"/>
        </w:rPr>
        <w:t xml:space="preserve"> государственная академия</w:t>
      </w:r>
      <w:r w:rsidRPr="00D738C0">
        <w:rPr>
          <w:szCs w:val="24"/>
        </w:rPr>
        <w:t>» на 2020-2022 годы» в июле-августе 2020 года. При последующей корректировке Программы развития должны учитываться внешние и внутренние факторы, действие которых не учитывалось при разработке и доработке в середине 2020 года Программы развития, а также достигнутые или, наоборот, недостигнутые Университетом показатели Программы развития.</w:t>
      </w:r>
    </w:p>
    <w:p w:rsidR="00B760DF" w:rsidRPr="00D738C0" w:rsidRDefault="00B760DF" w:rsidP="00D738C0">
      <w:pPr>
        <w:jc w:val="both"/>
        <w:rPr>
          <w:szCs w:val="24"/>
        </w:rPr>
      </w:pPr>
    </w:p>
    <w:p w:rsidR="00B760DF" w:rsidRPr="00D738C0" w:rsidRDefault="00B760DF" w:rsidP="00D738C0">
      <w:pPr>
        <w:jc w:val="both"/>
        <w:rPr>
          <w:szCs w:val="24"/>
        </w:rPr>
      </w:pPr>
    </w:p>
    <w:p w:rsidR="00B760DF" w:rsidRPr="00D738C0" w:rsidRDefault="00B760DF" w:rsidP="00D738C0">
      <w:pPr>
        <w:jc w:val="both"/>
        <w:rPr>
          <w:szCs w:val="24"/>
        </w:rPr>
      </w:pPr>
    </w:p>
    <w:p w:rsidR="00B760DF" w:rsidRPr="00D738C0" w:rsidRDefault="00B760DF" w:rsidP="00D738C0">
      <w:pPr>
        <w:jc w:val="both"/>
        <w:rPr>
          <w:szCs w:val="24"/>
        </w:rPr>
      </w:pPr>
    </w:p>
    <w:p w:rsidR="00B760DF" w:rsidRPr="00D738C0" w:rsidRDefault="00B760DF" w:rsidP="00B760DF">
      <w:pPr>
        <w:rPr>
          <w:szCs w:val="24"/>
        </w:rPr>
      </w:pPr>
    </w:p>
    <w:sectPr w:rsidR="00B760DF" w:rsidRPr="00D738C0" w:rsidSect="00766FF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2D" w:rsidRDefault="00726B2D" w:rsidP="00824EC4">
      <w:pPr>
        <w:spacing w:after="0" w:line="240" w:lineRule="auto"/>
      </w:pPr>
      <w:r>
        <w:separator/>
      </w:r>
    </w:p>
  </w:endnote>
  <w:endnote w:type="continuationSeparator" w:id="0">
    <w:p w:rsidR="00726B2D" w:rsidRDefault="00726B2D" w:rsidP="0082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2D" w:rsidRDefault="00726B2D" w:rsidP="00824EC4">
      <w:pPr>
        <w:spacing w:after="0" w:line="240" w:lineRule="auto"/>
      </w:pPr>
      <w:r>
        <w:separator/>
      </w:r>
    </w:p>
  </w:footnote>
  <w:footnote w:type="continuationSeparator" w:id="0">
    <w:p w:rsidR="00726B2D" w:rsidRDefault="00726B2D" w:rsidP="00824EC4">
      <w:pPr>
        <w:spacing w:after="0" w:line="240" w:lineRule="auto"/>
      </w:pPr>
      <w:r>
        <w:continuationSeparator/>
      </w:r>
    </w:p>
  </w:footnote>
  <w:footnote w:id="1">
    <w:p w:rsidR="00FE5DA0" w:rsidRPr="006848E4" w:rsidRDefault="00FE5DA0" w:rsidP="00FE5DA0">
      <w:pPr>
        <w:pStyle w:val="af3"/>
        <w:ind w:firstLine="567"/>
        <w:rPr>
          <w:sz w:val="18"/>
          <w:szCs w:val="18"/>
        </w:rPr>
      </w:pPr>
      <w:r w:rsidRPr="006848E4">
        <w:rPr>
          <w:rStyle w:val="af5"/>
          <w:sz w:val="18"/>
          <w:szCs w:val="18"/>
        </w:rPr>
        <w:footnoteRef/>
      </w:r>
      <w:r w:rsidRPr="006848E4">
        <w:rPr>
          <w:sz w:val="18"/>
          <w:szCs w:val="18"/>
        </w:rPr>
        <w:t xml:space="preserve"> О государственной программе "Социальная защита населения в Карачаево-Черкесской республике» [электронный ресурс]</w:t>
      </w:r>
      <w:proofErr w:type="gramStart"/>
      <w:r w:rsidRPr="006848E4">
        <w:rPr>
          <w:sz w:val="18"/>
          <w:szCs w:val="18"/>
        </w:rPr>
        <w:t xml:space="preserve"> :</w:t>
      </w:r>
      <w:proofErr w:type="gramEnd"/>
      <w:r w:rsidRPr="006848E4">
        <w:rPr>
          <w:sz w:val="18"/>
          <w:szCs w:val="18"/>
        </w:rPr>
        <w:t xml:space="preserve"> Постановление Правительства Карачаево-Черкесской Республики от 22 января 2019 г. № 10. – Доступ из справ</w:t>
      </w:r>
      <w:proofErr w:type="gramStart"/>
      <w:r w:rsidRPr="006848E4">
        <w:rPr>
          <w:sz w:val="18"/>
          <w:szCs w:val="18"/>
        </w:rPr>
        <w:t>.-</w:t>
      </w:r>
      <w:proofErr w:type="gramEnd"/>
      <w:r w:rsidRPr="006848E4">
        <w:rPr>
          <w:sz w:val="18"/>
          <w:szCs w:val="18"/>
        </w:rPr>
        <w:t xml:space="preserve">правовой системы Консультант Плюс: </w:t>
      </w:r>
      <w:r w:rsidRPr="006848E4">
        <w:rPr>
          <w:sz w:val="18"/>
          <w:szCs w:val="18"/>
          <w:lang w:val="en-US"/>
        </w:rPr>
        <w:t>URL</w:t>
      </w:r>
      <w:r w:rsidRPr="006848E4">
        <w:rPr>
          <w:sz w:val="18"/>
          <w:szCs w:val="18"/>
        </w:rPr>
        <w:t>: https://www.mintrudkchr.ru/uploadedFiles/upload-2019-02-20-10-03-14.pdf</w:t>
      </w:r>
    </w:p>
  </w:footnote>
  <w:footnote w:id="2">
    <w:p w:rsidR="00FE5DA0" w:rsidRPr="006848E4" w:rsidRDefault="00FE5DA0" w:rsidP="00FE5DA0">
      <w:pPr>
        <w:pStyle w:val="af3"/>
        <w:ind w:firstLine="567"/>
        <w:rPr>
          <w:sz w:val="18"/>
          <w:szCs w:val="18"/>
        </w:rPr>
      </w:pPr>
      <w:r w:rsidRPr="006848E4">
        <w:rPr>
          <w:rStyle w:val="af5"/>
          <w:sz w:val="18"/>
          <w:szCs w:val="18"/>
        </w:rPr>
        <w:footnoteRef/>
      </w:r>
      <w:r w:rsidRPr="006848E4">
        <w:rPr>
          <w:sz w:val="18"/>
          <w:szCs w:val="18"/>
        </w:rPr>
        <w:t xml:space="preserve"> О государственной программе "Социальная защита населения в Карачаево-Черкесской республике» [электронный ресурс]</w:t>
      </w:r>
      <w:proofErr w:type="gramStart"/>
      <w:r w:rsidRPr="006848E4">
        <w:rPr>
          <w:sz w:val="18"/>
          <w:szCs w:val="18"/>
        </w:rPr>
        <w:t xml:space="preserve"> :</w:t>
      </w:r>
      <w:proofErr w:type="gramEnd"/>
      <w:r w:rsidRPr="006848E4">
        <w:rPr>
          <w:sz w:val="18"/>
          <w:szCs w:val="18"/>
        </w:rPr>
        <w:t xml:space="preserve"> Постановление Правительства Карачаево-Черкесской Республики от 22 января 2019 г. № 10. – Доступ из справ</w:t>
      </w:r>
      <w:proofErr w:type="gramStart"/>
      <w:r w:rsidRPr="006848E4">
        <w:rPr>
          <w:sz w:val="18"/>
          <w:szCs w:val="18"/>
        </w:rPr>
        <w:t>.-</w:t>
      </w:r>
      <w:proofErr w:type="gramEnd"/>
      <w:r w:rsidRPr="006848E4">
        <w:rPr>
          <w:sz w:val="18"/>
          <w:szCs w:val="18"/>
        </w:rPr>
        <w:t>правовой системы Консультант Плюс: URL: https://www.mintrudkchr.ru/uploadedFiles/upload-2019-02-20-10-03-14.pdf</w:t>
      </w:r>
    </w:p>
  </w:footnote>
  <w:footnote w:id="3">
    <w:p w:rsidR="00FE5DA0" w:rsidRPr="006848E4" w:rsidRDefault="00FE5DA0" w:rsidP="00FE5DA0">
      <w:pPr>
        <w:pStyle w:val="af3"/>
        <w:spacing w:after="0"/>
        <w:ind w:firstLine="567"/>
        <w:rPr>
          <w:sz w:val="18"/>
          <w:szCs w:val="18"/>
        </w:rPr>
      </w:pPr>
      <w:r w:rsidRPr="006848E4">
        <w:rPr>
          <w:rStyle w:val="af5"/>
          <w:sz w:val="18"/>
          <w:szCs w:val="18"/>
        </w:rPr>
        <w:footnoteRef/>
      </w:r>
      <w:r w:rsidRPr="006848E4">
        <w:rPr>
          <w:sz w:val="18"/>
          <w:szCs w:val="18"/>
        </w:rPr>
        <w:t xml:space="preserve"> О государственной программе «Стимулирование экономического развития Карачаево-Черкесской Республики» [электронный ресурс]</w:t>
      </w:r>
      <w:proofErr w:type="gramStart"/>
      <w:r w:rsidRPr="006848E4">
        <w:rPr>
          <w:sz w:val="18"/>
          <w:szCs w:val="18"/>
        </w:rPr>
        <w:t xml:space="preserve"> :</w:t>
      </w:r>
      <w:proofErr w:type="gramEnd"/>
      <w:r w:rsidRPr="006848E4">
        <w:rPr>
          <w:sz w:val="18"/>
          <w:szCs w:val="18"/>
        </w:rPr>
        <w:t xml:space="preserve"> Постановление Правительства Карачаево-Черкесской Республики от 22 января 2019 г. № 10. – Доступ из справ.-правовой системы ГАРАНТ</w:t>
      </w:r>
      <w:proofErr w:type="gramStart"/>
      <w:r w:rsidRPr="006848E4">
        <w:rPr>
          <w:sz w:val="18"/>
          <w:szCs w:val="18"/>
        </w:rPr>
        <w:t>.Р</w:t>
      </w:r>
      <w:proofErr w:type="gramEnd"/>
      <w:r w:rsidRPr="006848E4">
        <w:rPr>
          <w:sz w:val="18"/>
          <w:szCs w:val="18"/>
        </w:rPr>
        <w:t xml:space="preserve">У: </w:t>
      </w:r>
      <w:r w:rsidRPr="006848E4">
        <w:rPr>
          <w:sz w:val="18"/>
          <w:szCs w:val="18"/>
          <w:lang w:val="en-US"/>
        </w:rPr>
        <w:t>URL</w:t>
      </w:r>
      <w:r w:rsidRPr="006848E4">
        <w:rPr>
          <w:sz w:val="18"/>
          <w:szCs w:val="18"/>
        </w:rPr>
        <w:t>: http://www.garant.ru/hotlaw/karachaevo/1259875/#ixzz67AaSCkrV</w:t>
      </w:r>
    </w:p>
  </w:footnote>
  <w:footnote w:id="4">
    <w:p w:rsidR="00FE5DA0" w:rsidRPr="006848E4" w:rsidRDefault="00FE5DA0" w:rsidP="00FE5DA0">
      <w:pPr>
        <w:pStyle w:val="af3"/>
        <w:spacing w:after="0"/>
        <w:ind w:firstLine="567"/>
        <w:rPr>
          <w:sz w:val="18"/>
          <w:szCs w:val="18"/>
        </w:rPr>
      </w:pPr>
      <w:r w:rsidRPr="006848E4">
        <w:rPr>
          <w:rStyle w:val="af5"/>
          <w:sz w:val="18"/>
          <w:szCs w:val="18"/>
        </w:rPr>
        <w:footnoteRef/>
      </w:r>
      <w:r w:rsidRPr="006848E4">
        <w:rPr>
          <w:sz w:val="18"/>
          <w:szCs w:val="18"/>
        </w:rPr>
        <w:t xml:space="preserve"> Об утверждении государственной программы Российской Федерации «Развитие Северо-Кавказского федерального округа» на период до 2025 года (с изменениями на 11 февраля 2019 года)</w:t>
      </w:r>
      <w:proofErr w:type="gramStart"/>
      <w:r w:rsidRPr="006848E4">
        <w:rPr>
          <w:sz w:val="18"/>
          <w:szCs w:val="18"/>
        </w:rPr>
        <w:t xml:space="preserve"> :</w:t>
      </w:r>
      <w:proofErr w:type="gramEnd"/>
      <w:r w:rsidRPr="006848E4">
        <w:rPr>
          <w:sz w:val="18"/>
          <w:szCs w:val="18"/>
        </w:rPr>
        <w:t xml:space="preserve"> Постановление Правительства</w:t>
      </w:r>
      <w:proofErr w:type="gramStart"/>
      <w:r w:rsidRPr="006848E4">
        <w:rPr>
          <w:sz w:val="18"/>
          <w:szCs w:val="18"/>
        </w:rPr>
        <w:t xml:space="preserve"> Р</w:t>
      </w:r>
      <w:proofErr w:type="gramEnd"/>
      <w:r w:rsidRPr="006848E4">
        <w:rPr>
          <w:sz w:val="18"/>
          <w:szCs w:val="18"/>
        </w:rPr>
        <w:t>ос. Федерации от 15 апреля 2014 года № 309 // Рос</w:t>
      </w:r>
      <w:proofErr w:type="gramStart"/>
      <w:r w:rsidRPr="006848E4">
        <w:rPr>
          <w:sz w:val="18"/>
          <w:szCs w:val="18"/>
        </w:rPr>
        <w:t>.</w:t>
      </w:r>
      <w:proofErr w:type="gramEnd"/>
      <w:r w:rsidRPr="006848E4">
        <w:rPr>
          <w:sz w:val="18"/>
          <w:szCs w:val="18"/>
        </w:rPr>
        <w:t xml:space="preserve"> </w:t>
      </w:r>
      <w:proofErr w:type="gramStart"/>
      <w:r w:rsidRPr="006848E4">
        <w:rPr>
          <w:sz w:val="18"/>
          <w:szCs w:val="18"/>
        </w:rPr>
        <w:t>г</w:t>
      </w:r>
      <w:proofErr w:type="gramEnd"/>
      <w:r w:rsidRPr="006848E4">
        <w:rPr>
          <w:sz w:val="18"/>
          <w:szCs w:val="18"/>
        </w:rPr>
        <w:t>аз. 2014. 24 апр.</w:t>
      </w:r>
    </w:p>
  </w:footnote>
  <w:footnote w:id="5">
    <w:p w:rsidR="00FE5DA0" w:rsidRPr="006848E4" w:rsidRDefault="00FE5DA0" w:rsidP="00FE5DA0">
      <w:pPr>
        <w:pStyle w:val="af3"/>
        <w:spacing w:after="0"/>
        <w:ind w:firstLine="567"/>
        <w:rPr>
          <w:sz w:val="18"/>
          <w:szCs w:val="18"/>
        </w:rPr>
      </w:pPr>
      <w:r w:rsidRPr="006848E4">
        <w:rPr>
          <w:rStyle w:val="af5"/>
          <w:sz w:val="18"/>
          <w:szCs w:val="18"/>
        </w:rPr>
        <w:footnoteRef/>
      </w:r>
      <w:r w:rsidRPr="006848E4">
        <w:rPr>
          <w:sz w:val="18"/>
          <w:szCs w:val="18"/>
        </w:rPr>
        <w:t xml:space="preserve"> Послание Президента Российской Федерации Федеральному Собранию от 01.03.2018 г. [электронный ресурс].  Доступ из справ</w:t>
      </w:r>
      <w:proofErr w:type="gramStart"/>
      <w:r w:rsidRPr="006848E4">
        <w:rPr>
          <w:sz w:val="18"/>
          <w:szCs w:val="18"/>
        </w:rPr>
        <w:t>.-</w:t>
      </w:r>
      <w:proofErr w:type="gramEnd"/>
      <w:r w:rsidRPr="006848E4">
        <w:rPr>
          <w:sz w:val="18"/>
          <w:szCs w:val="18"/>
        </w:rPr>
        <w:t>правовой системы «</w:t>
      </w:r>
      <w:proofErr w:type="spellStart"/>
      <w:r w:rsidRPr="006848E4">
        <w:rPr>
          <w:sz w:val="18"/>
          <w:szCs w:val="18"/>
        </w:rPr>
        <w:t>КонсультантПлюс</w:t>
      </w:r>
      <w:proofErr w:type="spellEnd"/>
      <w:r w:rsidRPr="006848E4">
        <w:rPr>
          <w:sz w:val="18"/>
          <w:szCs w:val="18"/>
        </w:rPr>
        <w:t>».</w:t>
      </w:r>
    </w:p>
  </w:footnote>
  <w:footnote w:id="6">
    <w:p w:rsidR="00FE5DA0" w:rsidRPr="006848E4" w:rsidRDefault="00FE5DA0" w:rsidP="00FE5DA0">
      <w:pPr>
        <w:pStyle w:val="af3"/>
        <w:spacing w:after="0"/>
        <w:ind w:firstLine="567"/>
        <w:rPr>
          <w:sz w:val="18"/>
          <w:szCs w:val="18"/>
        </w:rPr>
      </w:pPr>
      <w:r w:rsidRPr="006848E4">
        <w:rPr>
          <w:rStyle w:val="af5"/>
          <w:sz w:val="18"/>
          <w:szCs w:val="18"/>
        </w:rPr>
        <w:footnoteRef/>
      </w:r>
      <w:r w:rsidRPr="006848E4">
        <w:rPr>
          <w:sz w:val="18"/>
          <w:szCs w:val="18"/>
        </w:rPr>
        <w:t xml:space="preserve"> О государственной программе «Развитие промышленности, торговли, энергетики, транспорта, связи и информационного общества Карачаево-Черкесской республики» [электронный ресурс]</w:t>
      </w:r>
      <w:proofErr w:type="gramStart"/>
      <w:r w:rsidRPr="006848E4">
        <w:rPr>
          <w:sz w:val="18"/>
          <w:szCs w:val="18"/>
        </w:rPr>
        <w:t xml:space="preserve"> :</w:t>
      </w:r>
      <w:proofErr w:type="gramEnd"/>
      <w:r w:rsidRPr="006848E4">
        <w:rPr>
          <w:sz w:val="18"/>
          <w:szCs w:val="18"/>
        </w:rPr>
        <w:t xml:space="preserve"> Постановление Правительства Карачаево-Черкесской Республики от 22 января 2019 года № 14. Доступ из справ</w:t>
      </w:r>
      <w:proofErr w:type="gramStart"/>
      <w:r w:rsidRPr="006848E4">
        <w:rPr>
          <w:sz w:val="18"/>
          <w:szCs w:val="18"/>
        </w:rPr>
        <w:t>.-</w:t>
      </w:r>
      <w:proofErr w:type="gramEnd"/>
      <w:r w:rsidRPr="006848E4">
        <w:rPr>
          <w:sz w:val="18"/>
          <w:szCs w:val="18"/>
        </w:rPr>
        <w:t>правовой системы «Консультант Плюс».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2597"/>
      <w:docPartObj>
        <w:docPartGallery w:val="Page Numbers (Top of Page)"/>
        <w:docPartUnique/>
      </w:docPartObj>
    </w:sdtPr>
    <w:sdtEndPr/>
    <w:sdtContent>
      <w:p w:rsidR="00824EC4" w:rsidRDefault="002F01E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FC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24EC4" w:rsidRDefault="00824EC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9243AE"/>
    <w:lvl w:ilvl="0">
      <w:numFmt w:val="bullet"/>
      <w:lvlText w:val="*"/>
      <w:lvlJc w:val="left"/>
    </w:lvl>
  </w:abstractNum>
  <w:abstractNum w:abstractNumId="1">
    <w:nsid w:val="02104E89"/>
    <w:multiLevelType w:val="hybridMultilevel"/>
    <w:tmpl w:val="52FE4E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6627"/>
    <w:multiLevelType w:val="hybridMultilevel"/>
    <w:tmpl w:val="7A4C2450"/>
    <w:lvl w:ilvl="0" w:tplc="7E449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441"/>
    <w:multiLevelType w:val="multilevel"/>
    <w:tmpl w:val="A43E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83F68"/>
    <w:multiLevelType w:val="multilevel"/>
    <w:tmpl w:val="AFACF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B81247"/>
    <w:multiLevelType w:val="hybridMultilevel"/>
    <w:tmpl w:val="B4743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85A38"/>
    <w:multiLevelType w:val="hybridMultilevel"/>
    <w:tmpl w:val="B93840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47BC2"/>
    <w:multiLevelType w:val="multilevel"/>
    <w:tmpl w:val="3FAC28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7" w:hanging="660"/>
      </w:pPr>
      <w:rPr>
        <w:rFonts w:hint="default"/>
      </w:rPr>
    </w:lvl>
    <w:lvl w:ilvl="2">
      <w:start w:val="4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84E09F1"/>
    <w:multiLevelType w:val="hybridMultilevel"/>
    <w:tmpl w:val="01F2DB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D7BF5"/>
    <w:multiLevelType w:val="hybridMultilevel"/>
    <w:tmpl w:val="6C9C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4F2D"/>
    <w:multiLevelType w:val="hybridMultilevel"/>
    <w:tmpl w:val="2D34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82FBE"/>
    <w:multiLevelType w:val="hybridMultilevel"/>
    <w:tmpl w:val="BB28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D0073"/>
    <w:multiLevelType w:val="hybridMultilevel"/>
    <w:tmpl w:val="6C9C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D7B8B"/>
    <w:multiLevelType w:val="hybridMultilevel"/>
    <w:tmpl w:val="C4EE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715D7"/>
    <w:multiLevelType w:val="hybridMultilevel"/>
    <w:tmpl w:val="BB28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A1EF3"/>
    <w:multiLevelType w:val="hybridMultilevel"/>
    <w:tmpl w:val="F416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646"/>
    <w:multiLevelType w:val="hybridMultilevel"/>
    <w:tmpl w:val="BCF23CF2"/>
    <w:lvl w:ilvl="0" w:tplc="F28EEE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Cambria" w:hAnsi="Cambria" w:hint="default"/>
        </w:rPr>
      </w:lvl>
    </w:lvlOverride>
  </w:num>
  <w:num w:numId="8">
    <w:abstractNumId w:val="16"/>
  </w:num>
  <w:num w:numId="9">
    <w:abstractNumId w:val="7"/>
  </w:num>
  <w:num w:numId="10">
    <w:abstractNumId w:val="1"/>
  </w:num>
  <w:num w:numId="11">
    <w:abstractNumId w:val="13"/>
  </w:num>
  <w:num w:numId="12">
    <w:abstractNumId w:val="6"/>
  </w:num>
  <w:num w:numId="13">
    <w:abstractNumId w:val="15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A5"/>
    <w:rsid w:val="000027B9"/>
    <w:rsid w:val="000123A8"/>
    <w:rsid w:val="00015513"/>
    <w:rsid w:val="00025545"/>
    <w:rsid w:val="0002556F"/>
    <w:rsid w:val="0002649E"/>
    <w:rsid w:val="000570B8"/>
    <w:rsid w:val="00071268"/>
    <w:rsid w:val="00081727"/>
    <w:rsid w:val="000857EB"/>
    <w:rsid w:val="00087CDB"/>
    <w:rsid w:val="00097438"/>
    <w:rsid w:val="000E5860"/>
    <w:rsid w:val="00133AC4"/>
    <w:rsid w:val="001340D7"/>
    <w:rsid w:val="00141E3B"/>
    <w:rsid w:val="001634C9"/>
    <w:rsid w:val="001643BD"/>
    <w:rsid w:val="00165AD5"/>
    <w:rsid w:val="00182423"/>
    <w:rsid w:val="00185E54"/>
    <w:rsid w:val="001A78B4"/>
    <w:rsid w:val="001B222B"/>
    <w:rsid w:val="001B63B4"/>
    <w:rsid w:val="001C111C"/>
    <w:rsid w:val="001C349F"/>
    <w:rsid w:val="001C3DDF"/>
    <w:rsid w:val="001F6FB4"/>
    <w:rsid w:val="00201F09"/>
    <w:rsid w:val="002360CC"/>
    <w:rsid w:val="002374B1"/>
    <w:rsid w:val="00261ED4"/>
    <w:rsid w:val="00272976"/>
    <w:rsid w:val="002748EC"/>
    <w:rsid w:val="002771F8"/>
    <w:rsid w:val="00297215"/>
    <w:rsid w:val="002A5BA2"/>
    <w:rsid w:val="002B25E3"/>
    <w:rsid w:val="002B292B"/>
    <w:rsid w:val="002C26D8"/>
    <w:rsid w:val="002C2725"/>
    <w:rsid w:val="002C6EEC"/>
    <w:rsid w:val="002F01E9"/>
    <w:rsid w:val="00303BA2"/>
    <w:rsid w:val="00311D47"/>
    <w:rsid w:val="00324380"/>
    <w:rsid w:val="003435CC"/>
    <w:rsid w:val="00351D75"/>
    <w:rsid w:val="003563C7"/>
    <w:rsid w:val="00386350"/>
    <w:rsid w:val="00394242"/>
    <w:rsid w:val="003A5175"/>
    <w:rsid w:val="003A6B02"/>
    <w:rsid w:val="003B1AFE"/>
    <w:rsid w:val="003B2584"/>
    <w:rsid w:val="003C6CA9"/>
    <w:rsid w:val="003D036F"/>
    <w:rsid w:val="003D5918"/>
    <w:rsid w:val="003E3DAD"/>
    <w:rsid w:val="003F2C8A"/>
    <w:rsid w:val="00401F99"/>
    <w:rsid w:val="004458A2"/>
    <w:rsid w:val="00453638"/>
    <w:rsid w:val="00455FCC"/>
    <w:rsid w:val="00463EAE"/>
    <w:rsid w:val="00467D20"/>
    <w:rsid w:val="004854A9"/>
    <w:rsid w:val="00493915"/>
    <w:rsid w:val="004A6C1A"/>
    <w:rsid w:val="004B10EA"/>
    <w:rsid w:val="004C21EB"/>
    <w:rsid w:val="004E595D"/>
    <w:rsid w:val="0050071D"/>
    <w:rsid w:val="00512439"/>
    <w:rsid w:val="005226ED"/>
    <w:rsid w:val="005231E4"/>
    <w:rsid w:val="00523937"/>
    <w:rsid w:val="005262A9"/>
    <w:rsid w:val="00531707"/>
    <w:rsid w:val="00541A26"/>
    <w:rsid w:val="00552E9D"/>
    <w:rsid w:val="0055684A"/>
    <w:rsid w:val="005608AA"/>
    <w:rsid w:val="0056306B"/>
    <w:rsid w:val="0057589D"/>
    <w:rsid w:val="005C0537"/>
    <w:rsid w:val="005E2DD3"/>
    <w:rsid w:val="005F4355"/>
    <w:rsid w:val="006151BC"/>
    <w:rsid w:val="006177FC"/>
    <w:rsid w:val="006222C4"/>
    <w:rsid w:val="00647388"/>
    <w:rsid w:val="006607CF"/>
    <w:rsid w:val="00674CF3"/>
    <w:rsid w:val="00675D92"/>
    <w:rsid w:val="00675FD0"/>
    <w:rsid w:val="006926C1"/>
    <w:rsid w:val="00693274"/>
    <w:rsid w:val="00694D8A"/>
    <w:rsid w:val="006B1FC7"/>
    <w:rsid w:val="006D33E2"/>
    <w:rsid w:val="006E3377"/>
    <w:rsid w:val="007072CA"/>
    <w:rsid w:val="00711315"/>
    <w:rsid w:val="007256CF"/>
    <w:rsid w:val="00726B2D"/>
    <w:rsid w:val="0073610B"/>
    <w:rsid w:val="00763457"/>
    <w:rsid w:val="00764F81"/>
    <w:rsid w:val="00766FF5"/>
    <w:rsid w:val="007734AA"/>
    <w:rsid w:val="00782CB3"/>
    <w:rsid w:val="007864E8"/>
    <w:rsid w:val="007A2F60"/>
    <w:rsid w:val="007A76C5"/>
    <w:rsid w:val="007D4759"/>
    <w:rsid w:val="007D4CE1"/>
    <w:rsid w:val="007D7541"/>
    <w:rsid w:val="007F0AA0"/>
    <w:rsid w:val="007F7C9D"/>
    <w:rsid w:val="00824EC4"/>
    <w:rsid w:val="00826497"/>
    <w:rsid w:val="00834911"/>
    <w:rsid w:val="00847723"/>
    <w:rsid w:val="00850628"/>
    <w:rsid w:val="00861910"/>
    <w:rsid w:val="00872BB4"/>
    <w:rsid w:val="008A30C5"/>
    <w:rsid w:val="008B07F2"/>
    <w:rsid w:val="008B2AB8"/>
    <w:rsid w:val="008B2AD6"/>
    <w:rsid w:val="008E5087"/>
    <w:rsid w:val="008F4B87"/>
    <w:rsid w:val="00903592"/>
    <w:rsid w:val="00913C1D"/>
    <w:rsid w:val="009169D0"/>
    <w:rsid w:val="00917980"/>
    <w:rsid w:val="009359E1"/>
    <w:rsid w:val="0093756B"/>
    <w:rsid w:val="0093791E"/>
    <w:rsid w:val="00945DF6"/>
    <w:rsid w:val="0096043E"/>
    <w:rsid w:val="009A6F84"/>
    <w:rsid w:val="009B3F1E"/>
    <w:rsid w:val="009C0B34"/>
    <w:rsid w:val="009C73CE"/>
    <w:rsid w:val="009E3C9B"/>
    <w:rsid w:val="009E4B4D"/>
    <w:rsid w:val="00A01B35"/>
    <w:rsid w:val="00A10256"/>
    <w:rsid w:val="00A11AC7"/>
    <w:rsid w:val="00A249DF"/>
    <w:rsid w:val="00A434A5"/>
    <w:rsid w:val="00A51AD9"/>
    <w:rsid w:val="00A54DF7"/>
    <w:rsid w:val="00A7327B"/>
    <w:rsid w:val="00A83CDC"/>
    <w:rsid w:val="00A9052A"/>
    <w:rsid w:val="00AA6820"/>
    <w:rsid w:val="00AC7899"/>
    <w:rsid w:val="00AD09F4"/>
    <w:rsid w:val="00B11A93"/>
    <w:rsid w:val="00B14FFB"/>
    <w:rsid w:val="00B34DA1"/>
    <w:rsid w:val="00B357B3"/>
    <w:rsid w:val="00B415B7"/>
    <w:rsid w:val="00B42702"/>
    <w:rsid w:val="00B72F83"/>
    <w:rsid w:val="00B756AA"/>
    <w:rsid w:val="00B760DF"/>
    <w:rsid w:val="00BA16EB"/>
    <w:rsid w:val="00BA200C"/>
    <w:rsid w:val="00BC709F"/>
    <w:rsid w:val="00BF10C0"/>
    <w:rsid w:val="00BF2CBD"/>
    <w:rsid w:val="00BF3697"/>
    <w:rsid w:val="00BF4829"/>
    <w:rsid w:val="00C25655"/>
    <w:rsid w:val="00C317E3"/>
    <w:rsid w:val="00C52F78"/>
    <w:rsid w:val="00C65C5F"/>
    <w:rsid w:val="00C867C2"/>
    <w:rsid w:val="00C94263"/>
    <w:rsid w:val="00C97D29"/>
    <w:rsid w:val="00CA0881"/>
    <w:rsid w:val="00CA6407"/>
    <w:rsid w:val="00CB02E8"/>
    <w:rsid w:val="00CB37BB"/>
    <w:rsid w:val="00CC2082"/>
    <w:rsid w:val="00CC7EA3"/>
    <w:rsid w:val="00CD0361"/>
    <w:rsid w:val="00CF1900"/>
    <w:rsid w:val="00CF4B8D"/>
    <w:rsid w:val="00D319C4"/>
    <w:rsid w:val="00D738C0"/>
    <w:rsid w:val="00D92DBA"/>
    <w:rsid w:val="00DA79A1"/>
    <w:rsid w:val="00DB0703"/>
    <w:rsid w:val="00DB3C8C"/>
    <w:rsid w:val="00DC7F3A"/>
    <w:rsid w:val="00DF6FBE"/>
    <w:rsid w:val="00E04002"/>
    <w:rsid w:val="00E15D5E"/>
    <w:rsid w:val="00E35CCC"/>
    <w:rsid w:val="00E40B2B"/>
    <w:rsid w:val="00E51ADC"/>
    <w:rsid w:val="00E553CA"/>
    <w:rsid w:val="00E71DC4"/>
    <w:rsid w:val="00E73E0C"/>
    <w:rsid w:val="00E75642"/>
    <w:rsid w:val="00E768E8"/>
    <w:rsid w:val="00EA7187"/>
    <w:rsid w:val="00EB6A26"/>
    <w:rsid w:val="00ED2C7A"/>
    <w:rsid w:val="00EF113F"/>
    <w:rsid w:val="00EF6AFB"/>
    <w:rsid w:val="00F1018B"/>
    <w:rsid w:val="00F4787D"/>
    <w:rsid w:val="00F56762"/>
    <w:rsid w:val="00F62D6B"/>
    <w:rsid w:val="00F647D6"/>
    <w:rsid w:val="00F666ED"/>
    <w:rsid w:val="00F83515"/>
    <w:rsid w:val="00F933A3"/>
    <w:rsid w:val="00F97016"/>
    <w:rsid w:val="00FA2F69"/>
    <w:rsid w:val="00FC6EEA"/>
    <w:rsid w:val="00FC791C"/>
    <w:rsid w:val="00FD6B80"/>
    <w:rsid w:val="00FE5DA0"/>
    <w:rsid w:val="00FE766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F5"/>
  </w:style>
  <w:style w:type="paragraph" w:styleId="1">
    <w:name w:val="heading 1"/>
    <w:basedOn w:val="a"/>
    <w:next w:val="a"/>
    <w:link w:val="10"/>
    <w:uiPriority w:val="9"/>
    <w:qFormat/>
    <w:rsid w:val="00A54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4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4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D6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756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Абзац списка для документа,List_Paragraph,Multilevel para_II,List Paragraph,А,List Paragraph1,Список Нумерованный"/>
    <w:basedOn w:val="a"/>
    <w:link w:val="a4"/>
    <w:uiPriority w:val="34"/>
    <w:qFormat/>
    <w:rsid w:val="00A434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3592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one">
    <w:name w:val="none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telega">
    <w:name w:val="telega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what">
    <w:name w:val="what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b">
    <w:name w:val="fb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insta">
    <w:name w:val="insta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9169D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List_Paragraph Знак,Multilevel para_II Знак,List Paragraph Знак,А Знак,List Paragraph1 Знак,Список Нумерованный Знак"/>
    <w:link w:val="a3"/>
    <w:uiPriority w:val="34"/>
    <w:locked/>
    <w:rsid w:val="009169D0"/>
  </w:style>
  <w:style w:type="table" w:customStyle="1" w:styleId="11">
    <w:name w:val="Сетка таблицы1"/>
    <w:basedOn w:val="a1"/>
    <w:next w:val="a7"/>
    <w:uiPriority w:val="39"/>
    <w:rsid w:val="001C3DD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C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54D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A5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54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54DF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54DF7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rsid w:val="00A54DF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10256"/>
    <w:pPr>
      <w:spacing w:after="100"/>
      <w:ind w:left="480"/>
    </w:pPr>
  </w:style>
  <w:style w:type="paragraph" w:styleId="ab">
    <w:name w:val="Balloon Text"/>
    <w:basedOn w:val="a"/>
    <w:link w:val="ac"/>
    <w:uiPriority w:val="99"/>
    <w:semiHidden/>
    <w:unhideWhenUsed/>
    <w:rsid w:val="00BF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0C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FD6B80"/>
    <w:pPr>
      <w:widowControl w:val="0"/>
      <w:autoSpaceDE w:val="0"/>
      <w:autoSpaceDN w:val="0"/>
      <w:adjustRightInd w:val="0"/>
      <w:spacing w:after="0" w:line="283" w:lineRule="exact"/>
      <w:ind w:firstLine="725"/>
    </w:pPr>
    <w:rPr>
      <w:rFonts w:ascii="Tahoma" w:eastAsia="Times New Roman" w:hAnsi="Tahoma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B8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B756A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d">
    <w:name w:val="Subtitle"/>
    <w:basedOn w:val="a"/>
    <w:next w:val="a"/>
    <w:link w:val="ae"/>
    <w:uiPriority w:val="11"/>
    <w:qFormat/>
    <w:rsid w:val="00B756A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756AA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756AA"/>
    <w:pPr>
      <w:spacing w:after="100"/>
    </w:pPr>
  </w:style>
  <w:style w:type="paragraph" w:styleId="af">
    <w:name w:val="header"/>
    <w:basedOn w:val="a"/>
    <w:link w:val="af0"/>
    <w:uiPriority w:val="99"/>
    <w:unhideWhenUsed/>
    <w:rsid w:val="00824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4EC4"/>
  </w:style>
  <w:style w:type="paragraph" w:styleId="af1">
    <w:name w:val="footer"/>
    <w:basedOn w:val="a"/>
    <w:link w:val="af2"/>
    <w:uiPriority w:val="99"/>
    <w:unhideWhenUsed/>
    <w:rsid w:val="00824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EC4"/>
  </w:style>
  <w:style w:type="paragraph" w:styleId="af3">
    <w:name w:val="footnote text"/>
    <w:basedOn w:val="a"/>
    <w:link w:val="af4"/>
    <w:uiPriority w:val="99"/>
    <w:rsid w:val="00FE5DA0"/>
    <w:pPr>
      <w:spacing w:after="120" w:line="240" w:lineRule="auto"/>
      <w:ind w:right="-45"/>
      <w:jc w:val="both"/>
    </w:pPr>
    <w:rPr>
      <w:rFonts w:eastAsia="Times New Roman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FE5DA0"/>
    <w:rPr>
      <w:rFonts w:eastAsia="Times New Roman"/>
      <w:szCs w:val="20"/>
      <w:lang w:eastAsia="ru-RU"/>
    </w:rPr>
  </w:style>
  <w:style w:type="character" w:styleId="af5">
    <w:name w:val="footnote reference"/>
    <w:uiPriority w:val="99"/>
    <w:semiHidden/>
    <w:rsid w:val="00FE5D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F5"/>
  </w:style>
  <w:style w:type="paragraph" w:styleId="1">
    <w:name w:val="heading 1"/>
    <w:basedOn w:val="a"/>
    <w:next w:val="a"/>
    <w:link w:val="10"/>
    <w:uiPriority w:val="9"/>
    <w:qFormat/>
    <w:rsid w:val="00A54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4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4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D6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756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Абзац списка для документа,List_Paragraph,Multilevel para_II,List Paragraph,А,List Paragraph1,Список Нумерованный"/>
    <w:basedOn w:val="a"/>
    <w:link w:val="a4"/>
    <w:uiPriority w:val="34"/>
    <w:qFormat/>
    <w:rsid w:val="00A434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3592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one">
    <w:name w:val="none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telega">
    <w:name w:val="telega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what">
    <w:name w:val="what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b">
    <w:name w:val="fb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insta">
    <w:name w:val="insta"/>
    <w:basedOn w:val="a"/>
    <w:rsid w:val="009035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9169D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List_Paragraph Знак,Multilevel para_II Знак,List Paragraph Знак,А Знак,List Paragraph1 Знак,Список Нумерованный Знак"/>
    <w:link w:val="a3"/>
    <w:uiPriority w:val="34"/>
    <w:locked/>
    <w:rsid w:val="009169D0"/>
  </w:style>
  <w:style w:type="table" w:customStyle="1" w:styleId="11">
    <w:name w:val="Сетка таблицы1"/>
    <w:basedOn w:val="a1"/>
    <w:next w:val="a7"/>
    <w:uiPriority w:val="39"/>
    <w:rsid w:val="001C3DD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C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54D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A5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54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54DF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54DF7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rsid w:val="00A54DF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10256"/>
    <w:pPr>
      <w:spacing w:after="100"/>
      <w:ind w:left="480"/>
    </w:pPr>
  </w:style>
  <w:style w:type="paragraph" w:styleId="ab">
    <w:name w:val="Balloon Text"/>
    <w:basedOn w:val="a"/>
    <w:link w:val="ac"/>
    <w:uiPriority w:val="99"/>
    <w:semiHidden/>
    <w:unhideWhenUsed/>
    <w:rsid w:val="00BF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0C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FD6B80"/>
    <w:pPr>
      <w:widowControl w:val="0"/>
      <w:autoSpaceDE w:val="0"/>
      <w:autoSpaceDN w:val="0"/>
      <w:adjustRightInd w:val="0"/>
      <w:spacing w:after="0" w:line="283" w:lineRule="exact"/>
      <w:ind w:firstLine="725"/>
    </w:pPr>
    <w:rPr>
      <w:rFonts w:ascii="Tahoma" w:eastAsia="Times New Roman" w:hAnsi="Tahoma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B8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B756A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d">
    <w:name w:val="Subtitle"/>
    <w:basedOn w:val="a"/>
    <w:next w:val="a"/>
    <w:link w:val="ae"/>
    <w:uiPriority w:val="11"/>
    <w:qFormat/>
    <w:rsid w:val="00B756A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756AA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756AA"/>
    <w:pPr>
      <w:spacing w:after="100"/>
    </w:pPr>
  </w:style>
  <w:style w:type="paragraph" w:styleId="af">
    <w:name w:val="header"/>
    <w:basedOn w:val="a"/>
    <w:link w:val="af0"/>
    <w:uiPriority w:val="99"/>
    <w:unhideWhenUsed/>
    <w:rsid w:val="00824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4EC4"/>
  </w:style>
  <w:style w:type="paragraph" w:styleId="af1">
    <w:name w:val="footer"/>
    <w:basedOn w:val="a"/>
    <w:link w:val="af2"/>
    <w:uiPriority w:val="99"/>
    <w:unhideWhenUsed/>
    <w:rsid w:val="00824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EC4"/>
  </w:style>
  <w:style w:type="paragraph" w:styleId="af3">
    <w:name w:val="footnote text"/>
    <w:basedOn w:val="a"/>
    <w:link w:val="af4"/>
    <w:uiPriority w:val="99"/>
    <w:rsid w:val="00FE5DA0"/>
    <w:pPr>
      <w:spacing w:after="120" w:line="240" w:lineRule="auto"/>
      <w:ind w:right="-45"/>
      <w:jc w:val="both"/>
    </w:pPr>
    <w:rPr>
      <w:rFonts w:eastAsia="Times New Roman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FE5DA0"/>
    <w:rPr>
      <w:rFonts w:eastAsia="Times New Roman"/>
      <w:szCs w:val="20"/>
      <w:lang w:eastAsia="ru-RU"/>
    </w:rPr>
  </w:style>
  <w:style w:type="character" w:styleId="af5">
    <w:name w:val="footnote reference"/>
    <w:uiPriority w:val="99"/>
    <w:semiHidden/>
    <w:rsid w:val="00FE5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5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7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00F6-104D-48EC-A967-6FAF54EC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5697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Ольга Алексеевна</dc:creator>
  <cp:lastModifiedBy>211</cp:lastModifiedBy>
  <cp:revision>6</cp:revision>
  <cp:lastPrinted>2020-11-24T11:28:00Z</cp:lastPrinted>
  <dcterms:created xsi:type="dcterms:W3CDTF">2020-12-07T12:54:00Z</dcterms:created>
  <dcterms:modified xsi:type="dcterms:W3CDTF">2020-12-07T16:13:00Z</dcterms:modified>
</cp:coreProperties>
</file>