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49" w:rsidRDefault="001A4ACA">
      <w:pPr>
        <w:pStyle w:val="a3"/>
        <w:spacing w:before="69"/>
        <w:ind w:left="158"/>
        <w:jc w:val="center"/>
      </w:pPr>
      <w:r>
        <w:rPr>
          <w:spacing w:val="-10"/>
        </w:rPr>
        <w:t>Abstract of the</w:t>
      </w:r>
      <w:r w:rsidR="003952BB">
        <w:rPr>
          <w:spacing w:val="-10"/>
          <w:lang w:val="en-US"/>
        </w:rPr>
        <w:t xml:space="preserve"> </w:t>
      </w:r>
      <w:r w:rsidR="00075577">
        <w:rPr>
          <w:spacing w:val="-2"/>
        </w:rPr>
        <w:t>practice</w:t>
      </w:r>
    </w:p>
    <w:p w:rsidR="00B50549" w:rsidRDefault="00B50549">
      <w:pPr>
        <w:spacing w:before="49" w:after="1"/>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9"/>
      </w:tblGrid>
      <w:tr w:rsidR="00B50549">
        <w:trPr>
          <w:trHeight w:val="1105"/>
        </w:trPr>
        <w:tc>
          <w:tcPr>
            <w:tcW w:w="1723" w:type="dxa"/>
          </w:tcPr>
          <w:p w:rsidR="00B50549" w:rsidRDefault="001A4ACA">
            <w:pPr>
              <w:pStyle w:val="TableParagraph"/>
              <w:ind w:left="0"/>
              <w:rPr>
                <w:b/>
                <w:sz w:val="24"/>
              </w:rPr>
            </w:pPr>
            <w:r w:rsidRPr="001A4ACA">
              <w:rPr>
                <w:sz w:val="24"/>
              </w:rPr>
              <w:t>Type of practice</w:t>
            </w:r>
          </w:p>
          <w:p w:rsidR="001A4ACA" w:rsidRDefault="001A4ACA" w:rsidP="001A4ACA">
            <w:pPr>
              <w:pStyle w:val="TableParagraph"/>
              <w:ind w:left="107"/>
              <w:rPr>
                <w:sz w:val="24"/>
              </w:rPr>
            </w:pPr>
          </w:p>
          <w:p w:rsidR="00B50549" w:rsidRDefault="001A4ACA" w:rsidP="001A4ACA">
            <w:pPr>
              <w:pStyle w:val="TableParagraph"/>
              <w:ind w:left="107"/>
              <w:rPr>
                <w:sz w:val="24"/>
              </w:rPr>
            </w:pPr>
            <w:r>
              <w:rPr>
                <w:sz w:val="24"/>
              </w:rPr>
              <w:t xml:space="preserve">Form of </w:t>
            </w:r>
            <w:r w:rsidR="00075577">
              <w:rPr>
                <w:spacing w:val="-2"/>
                <w:sz w:val="24"/>
              </w:rPr>
              <w:t>practice</w:t>
            </w:r>
          </w:p>
        </w:tc>
        <w:tc>
          <w:tcPr>
            <w:tcW w:w="7339" w:type="dxa"/>
          </w:tcPr>
          <w:p w:rsidR="00B50549" w:rsidRDefault="00075577">
            <w:pPr>
              <w:pStyle w:val="TableParagraph"/>
              <w:spacing w:line="270" w:lineRule="exact"/>
              <w:rPr>
                <w:sz w:val="24"/>
              </w:rPr>
            </w:pPr>
            <w:r>
              <w:rPr>
                <w:spacing w:val="-2"/>
                <w:sz w:val="24"/>
              </w:rPr>
              <w:t>Industrial practice</w:t>
            </w:r>
          </w:p>
          <w:p w:rsidR="00B50549" w:rsidRDefault="00B50549">
            <w:pPr>
              <w:pStyle w:val="TableParagraph"/>
              <w:ind w:left="0"/>
              <w:rPr>
                <w:b/>
                <w:sz w:val="24"/>
              </w:rPr>
            </w:pPr>
          </w:p>
          <w:p w:rsidR="00B50549" w:rsidRDefault="00075577">
            <w:pPr>
              <w:pStyle w:val="TableParagraph"/>
              <w:rPr>
                <w:sz w:val="24"/>
              </w:rPr>
            </w:pPr>
            <w:r>
              <w:rPr>
                <w:spacing w:val="-2"/>
                <w:sz w:val="24"/>
              </w:rPr>
              <w:t>Therapeutic practice</w:t>
            </w:r>
          </w:p>
        </w:tc>
      </w:tr>
      <w:tr w:rsidR="00B50549">
        <w:trPr>
          <w:trHeight w:val="1103"/>
        </w:trPr>
        <w:tc>
          <w:tcPr>
            <w:tcW w:w="1723" w:type="dxa"/>
          </w:tcPr>
          <w:p w:rsidR="00B50549" w:rsidRDefault="00075577">
            <w:pPr>
              <w:pStyle w:val="TableParagraph"/>
              <w:ind w:left="107"/>
              <w:rPr>
                <w:sz w:val="24"/>
              </w:rPr>
            </w:pPr>
            <w:r>
              <w:rPr>
                <w:sz w:val="24"/>
              </w:rPr>
              <w:t xml:space="preserve">Methods and </w:t>
            </w:r>
            <w:r>
              <w:rPr>
                <w:spacing w:val="-2"/>
                <w:sz w:val="24"/>
              </w:rPr>
              <w:t>forms</w:t>
            </w:r>
          </w:p>
          <w:p w:rsidR="00B50549" w:rsidRDefault="00075577">
            <w:pPr>
              <w:pStyle w:val="TableParagraph"/>
              <w:spacing w:line="270" w:lineRule="atLeast"/>
              <w:ind w:left="107"/>
              <w:rPr>
                <w:sz w:val="24"/>
              </w:rPr>
            </w:pPr>
            <w:r>
              <w:rPr>
                <w:spacing w:val="-2"/>
                <w:sz w:val="24"/>
              </w:rPr>
              <w:t>conducting practice</w:t>
            </w:r>
          </w:p>
        </w:tc>
        <w:tc>
          <w:tcPr>
            <w:tcW w:w="7339" w:type="dxa"/>
          </w:tcPr>
          <w:p w:rsidR="00B50549" w:rsidRDefault="00075577">
            <w:pPr>
              <w:pStyle w:val="TableParagraph"/>
              <w:spacing w:line="268" w:lineRule="exact"/>
              <w:rPr>
                <w:sz w:val="24"/>
              </w:rPr>
            </w:pPr>
            <w:r>
              <w:rPr>
                <w:sz w:val="24"/>
              </w:rPr>
              <w:t>Stationary,</w:t>
            </w:r>
            <w:r w:rsidR="003952BB">
              <w:rPr>
                <w:sz w:val="24"/>
                <w:lang w:val="en-US"/>
              </w:rPr>
              <w:t xml:space="preserve"> </w:t>
            </w:r>
            <w:r>
              <w:rPr>
                <w:sz w:val="24"/>
              </w:rPr>
              <w:t xml:space="preserve">on-site/ </w:t>
            </w:r>
            <w:r>
              <w:rPr>
                <w:spacing w:val="-2"/>
                <w:sz w:val="24"/>
              </w:rPr>
              <w:t>discreetly</w:t>
            </w:r>
          </w:p>
        </w:tc>
      </w:tr>
      <w:tr w:rsidR="00B50549">
        <w:trPr>
          <w:trHeight w:val="551"/>
        </w:trPr>
        <w:tc>
          <w:tcPr>
            <w:tcW w:w="1723" w:type="dxa"/>
          </w:tcPr>
          <w:p w:rsidR="00B50549" w:rsidRDefault="00075577">
            <w:pPr>
              <w:pStyle w:val="TableParagraph"/>
              <w:spacing w:line="267" w:lineRule="exact"/>
              <w:ind w:left="107"/>
              <w:rPr>
                <w:sz w:val="24"/>
              </w:rPr>
            </w:pPr>
            <w:r>
              <w:rPr>
                <w:spacing w:val="-2"/>
                <w:sz w:val="24"/>
              </w:rPr>
              <w:t>Implemented</w:t>
            </w:r>
          </w:p>
          <w:p w:rsidR="00B50549" w:rsidRDefault="00075577">
            <w:pPr>
              <w:pStyle w:val="TableParagraph"/>
              <w:spacing w:line="264" w:lineRule="exact"/>
              <w:ind w:left="107"/>
              <w:rPr>
                <w:sz w:val="24"/>
              </w:rPr>
            </w:pPr>
            <w:r>
              <w:rPr>
                <w:spacing w:val="-2"/>
                <w:sz w:val="24"/>
              </w:rPr>
              <w:t>competencies</w:t>
            </w:r>
          </w:p>
        </w:tc>
        <w:tc>
          <w:tcPr>
            <w:tcW w:w="7339" w:type="dxa"/>
          </w:tcPr>
          <w:p w:rsidR="00B50549" w:rsidRDefault="00075577" w:rsidP="001A4ACA">
            <w:pPr>
              <w:pStyle w:val="TableParagraph"/>
              <w:spacing w:line="267" w:lineRule="exact"/>
              <w:rPr>
                <w:sz w:val="24"/>
              </w:rPr>
            </w:pPr>
            <w:r>
              <w:rPr>
                <w:sz w:val="24"/>
              </w:rPr>
              <w:t>P</w:t>
            </w:r>
            <w:r w:rsidR="001A4ACA">
              <w:rPr>
                <w:sz w:val="24"/>
              </w:rPr>
              <w:t>C</w:t>
            </w:r>
            <w:r>
              <w:rPr>
                <w:sz w:val="24"/>
              </w:rPr>
              <w:t xml:space="preserve">-1, </w:t>
            </w:r>
            <w:r w:rsidR="001A4ACA">
              <w:rPr>
                <w:sz w:val="24"/>
              </w:rPr>
              <w:t>PC</w:t>
            </w:r>
            <w:r>
              <w:rPr>
                <w:sz w:val="24"/>
              </w:rPr>
              <w:t xml:space="preserve">-2, </w:t>
            </w:r>
            <w:r w:rsidR="001A4ACA">
              <w:rPr>
                <w:sz w:val="24"/>
              </w:rPr>
              <w:t>PC</w:t>
            </w:r>
            <w:r>
              <w:rPr>
                <w:sz w:val="24"/>
              </w:rPr>
              <w:t xml:space="preserve">-3, </w:t>
            </w:r>
            <w:r w:rsidR="001A4ACA">
              <w:rPr>
                <w:sz w:val="24"/>
              </w:rPr>
              <w:t>PC</w:t>
            </w:r>
            <w:r>
              <w:rPr>
                <w:sz w:val="24"/>
              </w:rPr>
              <w:t xml:space="preserve">-5, </w:t>
            </w:r>
            <w:r w:rsidR="001A4ACA">
              <w:rPr>
                <w:sz w:val="24"/>
              </w:rPr>
              <w:t>PC</w:t>
            </w:r>
            <w:r>
              <w:rPr>
                <w:sz w:val="24"/>
              </w:rPr>
              <w:t xml:space="preserve">-7, </w:t>
            </w:r>
            <w:r w:rsidR="001A4ACA">
              <w:rPr>
                <w:sz w:val="24"/>
              </w:rPr>
              <w:t>PC</w:t>
            </w:r>
            <w:r>
              <w:rPr>
                <w:sz w:val="24"/>
              </w:rPr>
              <w:t xml:space="preserve">-8, </w:t>
            </w:r>
            <w:r w:rsidR="001A4ACA">
              <w:rPr>
                <w:sz w:val="24"/>
              </w:rPr>
              <w:t>PC</w:t>
            </w:r>
            <w:r>
              <w:rPr>
                <w:sz w:val="24"/>
              </w:rPr>
              <w:t xml:space="preserve">-14, </w:t>
            </w:r>
            <w:r w:rsidR="001A4ACA">
              <w:rPr>
                <w:sz w:val="24"/>
              </w:rPr>
              <w:t>PC</w:t>
            </w:r>
            <w:r>
              <w:rPr>
                <w:sz w:val="24"/>
              </w:rPr>
              <w:t xml:space="preserve">-15, </w:t>
            </w:r>
            <w:r w:rsidR="001A4ACA">
              <w:rPr>
                <w:sz w:val="24"/>
              </w:rPr>
              <w:t>PC</w:t>
            </w:r>
            <w:r>
              <w:rPr>
                <w:sz w:val="24"/>
              </w:rPr>
              <w:t xml:space="preserve">- </w:t>
            </w:r>
            <w:r>
              <w:rPr>
                <w:spacing w:val="-5"/>
                <w:sz w:val="24"/>
              </w:rPr>
              <w:t>16</w:t>
            </w:r>
          </w:p>
        </w:tc>
      </w:tr>
      <w:tr w:rsidR="00B50549">
        <w:trPr>
          <w:trHeight w:val="11109"/>
        </w:trPr>
        <w:tc>
          <w:tcPr>
            <w:tcW w:w="1723" w:type="dxa"/>
          </w:tcPr>
          <w:p w:rsidR="00B50549" w:rsidRDefault="00075577">
            <w:pPr>
              <w:pStyle w:val="TableParagraph"/>
              <w:ind w:left="107"/>
              <w:rPr>
                <w:sz w:val="24"/>
              </w:rPr>
            </w:pPr>
            <w:r>
              <w:rPr>
                <w:spacing w:val="-2"/>
                <w:sz w:val="24"/>
              </w:rPr>
              <w:t>Results of mastering the practice</w:t>
            </w:r>
          </w:p>
        </w:tc>
        <w:tc>
          <w:tcPr>
            <w:tcW w:w="7339" w:type="dxa"/>
          </w:tcPr>
          <w:p w:rsidR="00B50549" w:rsidRDefault="00075577">
            <w:pPr>
              <w:pStyle w:val="TableParagraph"/>
              <w:spacing w:line="276" w:lineRule="auto"/>
              <w:rPr>
                <w:sz w:val="24"/>
              </w:rPr>
            </w:pPr>
            <w:r>
              <w:rPr>
                <w:sz w:val="24"/>
              </w:rPr>
              <w:t xml:space="preserve">PC1-1 Assesses the condition of a patient requiring medical care outside of </w:t>
            </w:r>
            <w:r w:rsidR="003952BB" w:rsidRPr="003952BB">
              <w:rPr>
                <w:sz w:val="24"/>
              </w:rPr>
              <w:t xml:space="preserve">emergency or urgent </w:t>
            </w:r>
            <w:r>
              <w:rPr>
                <w:spacing w:val="-2"/>
                <w:sz w:val="24"/>
              </w:rPr>
              <w:t>forms</w:t>
            </w:r>
          </w:p>
          <w:p w:rsidR="00B50549" w:rsidRDefault="00075577">
            <w:pPr>
              <w:pStyle w:val="TableParagraph"/>
              <w:spacing w:line="276" w:lineRule="auto"/>
              <w:rPr>
                <w:sz w:val="24"/>
              </w:rPr>
            </w:pPr>
            <w:r>
              <w:rPr>
                <w:sz w:val="24"/>
              </w:rPr>
              <w:t>PC1-2Recognizes conditions that arise in sudden acute diseases, exacerbation of chronic diseases without obvious signs of a threat to the patient's life and requiring emergency medical care</w:t>
            </w:r>
          </w:p>
          <w:p w:rsidR="00B50549" w:rsidRDefault="00075577">
            <w:pPr>
              <w:pStyle w:val="TableParagraph"/>
              <w:spacing w:line="276" w:lineRule="auto"/>
              <w:rPr>
                <w:sz w:val="24"/>
              </w:rPr>
            </w:pPr>
            <w:r>
              <w:rPr>
                <w:sz w:val="24"/>
              </w:rPr>
              <w:t>PC1-3 provides emergency medical care to patients with sudden acute illnesses, conditions, exacerbation of chronic diseases without obvious signs of a threat to the patient's life</w:t>
            </w:r>
          </w:p>
          <w:p w:rsidR="00B50549" w:rsidRDefault="00075577">
            <w:pPr>
              <w:pStyle w:val="TableParagraph"/>
              <w:spacing w:line="276" w:lineRule="auto"/>
              <w:ind w:right="102"/>
              <w:rPr>
                <w:sz w:val="24"/>
              </w:rPr>
            </w:pPr>
            <w:r>
              <w:rPr>
                <w:sz w:val="24"/>
              </w:rPr>
              <w:t>PC1-4 Recognizes conditions that pose a threat to the patient's life, including conditions of clinical death (cessation of vital functions of the human body ( circulation and/or respiration), requiring emergency medical care</w:t>
            </w:r>
          </w:p>
          <w:p w:rsidR="00B50549" w:rsidRDefault="00075577">
            <w:pPr>
              <w:pStyle w:val="TableParagraph"/>
              <w:spacing w:line="276" w:lineRule="auto"/>
              <w:ind w:right="102"/>
              <w:rPr>
                <w:sz w:val="24"/>
              </w:rPr>
            </w:pPr>
            <w:r>
              <w:rPr>
                <w:sz w:val="24"/>
              </w:rPr>
              <w:t>PC1-5 provides emergency medical care to patients in conditions that pose a threat to the patient's life, including clinical death (cessation of vital functions of the human body (circulation and/or respiration)</w:t>
            </w:r>
          </w:p>
          <w:p w:rsidR="00B50549" w:rsidRDefault="00075577">
            <w:pPr>
              <w:pStyle w:val="TableParagraph"/>
              <w:spacing w:line="276" w:lineRule="auto"/>
              <w:rPr>
                <w:sz w:val="24"/>
              </w:rPr>
            </w:pPr>
            <w:r>
              <w:rPr>
                <w:sz w:val="24"/>
              </w:rPr>
              <w:t xml:space="preserve">PC1-6 </w:t>
            </w:r>
            <w:r w:rsidR="003952BB" w:rsidRPr="003952BB">
              <w:rPr>
                <w:sz w:val="24"/>
              </w:rPr>
              <w:t xml:space="preserve">Uses </w:t>
            </w:r>
            <w:r>
              <w:rPr>
                <w:sz w:val="24"/>
              </w:rPr>
              <w:t xml:space="preserve">medicinal products and medical devices when providing medical care in emergency or urgent </w:t>
            </w:r>
            <w:r>
              <w:rPr>
                <w:spacing w:val="-2"/>
                <w:sz w:val="24"/>
              </w:rPr>
              <w:t>forms</w:t>
            </w:r>
          </w:p>
          <w:p w:rsidR="00B50549" w:rsidRDefault="00075577">
            <w:pPr>
              <w:pStyle w:val="TableParagraph"/>
              <w:spacing w:line="276" w:lineRule="auto"/>
              <w:ind w:right="102"/>
              <w:rPr>
                <w:sz w:val="24"/>
              </w:rPr>
            </w:pPr>
            <w:r>
              <w:rPr>
                <w:sz w:val="24"/>
              </w:rPr>
              <w:t>PC-2-1. Conducts medical examinations taking into account age, health status, profession in accordance with current regulatory legal acts and other documents</w:t>
            </w:r>
          </w:p>
          <w:p w:rsidR="00B50549" w:rsidRDefault="00075577">
            <w:pPr>
              <w:pStyle w:val="TableParagraph"/>
              <w:spacing w:line="276" w:lineRule="auto"/>
              <w:ind w:right="102"/>
              <w:rPr>
                <w:sz w:val="24"/>
              </w:rPr>
            </w:pPr>
            <w:r>
              <w:rPr>
                <w:sz w:val="24"/>
              </w:rPr>
              <w:t>PC-2-2. Organizes medical examinations for the purpose of early detection of chronic non-communicable diseases, the main risk factors for their development</w:t>
            </w:r>
          </w:p>
          <w:p w:rsidR="00B50549" w:rsidRDefault="00075577">
            <w:pPr>
              <w:pStyle w:val="TableParagraph"/>
              <w:spacing w:line="276" w:lineRule="auto"/>
              <w:ind w:right="658"/>
              <w:rPr>
                <w:sz w:val="24"/>
              </w:rPr>
            </w:pPr>
            <w:r>
              <w:rPr>
                <w:sz w:val="24"/>
              </w:rPr>
              <w:t>PC 3-3 Conducts dispensary observation of patients with identified chronic non-infectious diseases PC-3.1. Organizes and carries out preventive anti-epidemic measures</w:t>
            </w:r>
          </w:p>
          <w:p w:rsidR="00B50549" w:rsidRDefault="00075577">
            <w:pPr>
              <w:pStyle w:val="TableParagraph"/>
              <w:rPr>
                <w:sz w:val="24"/>
              </w:rPr>
            </w:pPr>
            <w:r>
              <w:rPr>
                <w:sz w:val="24"/>
              </w:rPr>
              <w:t xml:space="preserve">PC-3-2. Organizes and controls </w:t>
            </w:r>
            <w:r>
              <w:rPr>
                <w:spacing w:val="-2"/>
                <w:sz w:val="24"/>
              </w:rPr>
              <w:t>the implementation</w:t>
            </w:r>
          </w:p>
          <w:p w:rsidR="001A4ACA" w:rsidRDefault="00075577" w:rsidP="001A4ACA">
            <w:pPr>
              <w:pStyle w:val="TableParagraph"/>
              <w:spacing w:line="276" w:lineRule="auto"/>
              <w:rPr>
                <w:sz w:val="24"/>
              </w:rPr>
            </w:pPr>
            <w:r>
              <w:rPr>
                <w:sz w:val="24"/>
              </w:rPr>
              <w:t>immunoprophylaxis of infectious diseases in the adult population in accordance with the current procedures for the provision of</w:t>
            </w:r>
            <w:r w:rsidR="001A4ACA">
              <w:rPr>
                <w:sz w:val="24"/>
              </w:rPr>
              <w:t xml:space="preserve"> medical care, clinical guidelines (treatment protocols) on issues of providing medical care taking into account the standards of medical care</w:t>
            </w:r>
          </w:p>
          <w:p w:rsidR="001A4ACA" w:rsidRDefault="001A4ACA" w:rsidP="001A4ACA">
            <w:pPr>
              <w:pStyle w:val="TableParagraph"/>
              <w:spacing w:line="276" w:lineRule="auto"/>
              <w:rPr>
                <w:sz w:val="24"/>
                <w:lang w:val="en-US"/>
              </w:rPr>
            </w:pPr>
            <w:r>
              <w:rPr>
                <w:sz w:val="24"/>
              </w:rPr>
              <w:t>PC-3-3. Organizes the implementation of sanitary and anti-epidemic (preventive) measures in the event of a focus of particularly dangerous infections, in the event of a deterioration in the radiation situation, natural disasters and other emergency situations.</w:t>
            </w:r>
          </w:p>
          <w:p w:rsidR="00B50549" w:rsidRDefault="00B50549">
            <w:pPr>
              <w:pStyle w:val="TableParagraph"/>
              <w:spacing w:before="2" w:line="310" w:lineRule="atLeast"/>
              <w:rPr>
                <w:sz w:val="24"/>
              </w:rPr>
            </w:pPr>
          </w:p>
        </w:tc>
      </w:tr>
    </w:tbl>
    <w:p w:rsidR="00B50549" w:rsidRDefault="00B50549">
      <w:pPr>
        <w:pStyle w:val="TableParagraph"/>
        <w:spacing w:line="310" w:lineRule="atLeast"/>
        <w:rPr>
          <w:sz w:val="24"/>
        </w:rPr>
        <w:sectPr w:rsidR="00B50549">
          <w:type w:val="continuous"/>
          <w:pgSz w:w="11900" w:h="16840"/>
          <w:pgMar w:top="1060" w:right="708" w:bottom="280" w:left="1700" w:header="720" w:footer="720"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9"/>
      </w:tblGrid>
      <w:tr w:rsidR="00B50549">
        <w:trPr>
          <w:trHeight w:val="14325"/>
        </w:trPr>
        <w:tc>
          <w:tcPr>
            <w:tcW w:w="1723" w:type="dxa"/>
          </w:tcPr>
          <w:p w:rsidR="00B50549" w:rsidRDefault="00B50549">
            <w:pPr>
              <w:pStyle w:val="TableParagraph"/>
              <w:ind w:left="0"/>
            </w:pPr>
          </w:p>
        </w:tc>
        <w:tc>
          <w:tcPr>
            <w:tcW w:w="7339" w:type="dxa"/>
          </w:tcPr>
          <w:p w:rsidR="00B50549" w:rsidRDefault="00075577" w:rsidP="003952BB">
            <w:pPr>
              <w:pStyle w:val="TableParagraph"/>
              <w:spacing w:line="276" w:lineRule="auto"/>
              <w:rPr>
                <w:sz w:val="24"/>
              </w:rPr>
            </w:pPr>
            <w:r>
              <w:rPr>
                <w:sz w:val="24"/>
              </w:rPr>
              <w:t>PC-5-1 Collects complaints, anamnesis of life and disease of the patient and a complete physical examination of the patient (inspection, palpation, percussion, auscultation)</w:t>
            </w:r>
          </w:p>
          <w:p w:rsidR="00B50549" w:rsidRDefault="00075577">
            <w:pPr>
              <w:pStyle w:val="TableParagraph"/>
              <w:rPr>
                <w:sz w:val="24"/>
              </w:rPr>
            </w:pPr>
            <w:r>
              <w:rPr>
                <w:sz w:val="24"/>
              </w:rPr>
              <w:t xml:space="preserve">PC-5-2 </w:t>
            </w:r>
            <w:r w:rsidR="003952BB" w:rsidRPr="003952BB">
              <w:rPr>
                <w:sz w:val="24"/>
              </w:rPr>
              <w:t xml:space="preserve">Formulates </w:t>
            </w:r>
            <w:r>
              <w:rPr>
                <w:sz w:val="24"/>
              </w:rPr>
              <w:t>a preliminary diagnosis and draws up a plan for laboratory and instrumental examinations of the patient</w:t>
            </w:r>
          </w:p>
          <w:p w:rsidR="00B50549" w:rsidRDefault="00075577">
            <w:pPr>
              <w:pStyle w:val="TableParagraph"/>
              <w:rPr>
                <w:sz w:val="24"/>
              </w:rPr>
            </w:pPr>
            <w:r>
              <w:rPr>
                <w:sz w:val="24"/>
              </w:rPr>
              <w:t xml:space="preserve">PC-5-3. Refer the patient for laboratory and instrumental examination if there are medical indications in accordance with the current procedures for providing medical care, clinical recommendations (treatment protocols) on issues of providing medical care, taking into account the standards of medical </w:t>
            </w:r>
            <w:r>
              <w:rPr>
                <w:spacing w:val="-2"/>
                <w:sz w:val="24"/>
              </w:rPr>
              <w:t>care</w:t>
            </w:r>
          </w:p>
          <w:p w:rsidR="00B50549" w:rsidRDefault="00075577">
            <w:pPr>
              <w:pStyle w:val="TableParagraph"/>
              <w:rPr>
                <w:sz w:val="24"/>
              </w:rPr>
            </w:pPr>
            <w:r>
              <w:rPr>
                <w:sz w:val="24"/>
              </w:rPr>
              <w:t xml:space="preserve">PC-5-4 </w:t>
            </w:r>
            <w:r w:rsidR="001A4ACA">
              <w:rPr>
                <w:sz w:val="24"/>
              </w:rPr>
              <w:t>R</w:t>
            </w:r>
            <w:r>
              <w:rPr>
                <w:sz w:val="24"/>
              </w:rPr>
              <w:t xml:space="preserve">efers the patient for consultation with medical specialists if there are medical indications in accordance with the current procedures for the provision of medical care, clinical recommendations (treatment protocols) on issues of providing medical care, taking into account the standards of medical </w:t>
            </w:r>
            <w:r>
              <w:rPr>
                <w:spacing w:val="-2"/>
                <w:sz w:val="24"/>
              </w:rPr>
              <w:t>care</w:t>
            </w:r>
          </w:p>
          <w:p w:rsidR="00B50549" w:rsidRDefault="00075577">
            <w:pPr>
              <w:pStyle w:val="TableParagraph"/>
              <w:rPr>
                <w:sz w:val="24"/>
              </w:rPr>
            </w:pPr>
            <w:r>
              <w:rPr>
                <w:sz w:val="24"/>
              </w:rPr>
              <w:t>PC-5-5 Refer the patient for specialized medical care in inpatient settings or in day hospital settings if there are medical indications in accordance with current procedures for providing medical care, clinical guidelines and ( treatment protocols) on issues of providing medical care, taking into account standards of medical care</w:t>
            </w:r>
          </w:p>
          <w:p w:rsidR="00B50549" w:rsidRDefault="00075577">
            <w:pPr>
              <w:pStyle w:val="TableParagraph"/>
              <w:ind w:right="102"/>
              <w:rPr>
                <w:sz w:val="24"/>
              </w:rPr>
            </w:pPr>
            <w:r>
              <w:rPr>
                <w:sz w:val="24"/>
              </w:rPr>
              <w:t>PC7-1 Conducts an examination of temporary disability as part of a medical commission that carries out an examination of temporary disability</w:t>
            </w:r>
          </w:p>
          <w:p w:rsidR="00B50549" w:rsidRDefault="001A4ACA">
            <w:pPr>
              <w:pStyle w:val="TableParagraph"/>
              <w:rPr>
                <w:sz w:val="24"/>
              </w:rPr>
            </w:pPr>
            <w:r>
              <w:rPr>
                <w:sz w:val="24"/>
              </w:rPr>
              <w:t>PC 7-2 D</w:t>
            </w:r>
            <w:r w:rsidR="00075577">
              <w:rPr>
                <w:sz w:val="24"/>
              </w:rPr>
              <w:t>efines the signs of temporary disability and signs of persistent impairment of body functions caused by diseases, consequences of injuries or defects</w:t>
            </w:r>
          </w:p>
          <w:p w:rsidR="00B50549" w:rsidRDefault="00075577">
            <w:pPr>
              <w:pStyle w:val="TableParagraph"/>
              <w:ind w:right="546"/>
              <w:rPr>
                <w:sz w:val="24"/>
              </w:rPr>
            </w:pPr>
            <w:r>
              <w:rPr>
                <w:sz w:val="24"/>
              </w:rPr>
              <w:t>PC7-3 Prepares documentation when referring a patient for medical and social examination</w:t>
            </w:r>
          </w:p>
          <w:p w:rsidR="00B50549" w:rsidRDefault="00075577">
            <w:pPr>
              <w:pStyle w:val="TableParagraph"/>
              <w:rPr>
                <w:sz w:val="24"/>
              </w:rPr>
            </w:pPr>
            <w:r>
              <w:rPr>
                <w:sz w:val="24"/>
              </w:rPr>
              <w:t xml:space="preserve">PC7-4 </w:t>
            </w:r>
            <w:r w:rsidR="001A4ACA">
              <w:rPr>
                <w:sz w:val="24"/>
              </w:rPr>
              <w:t>C</w:t>
            </w:r>
            <w:r>
              <w:rPr>
                <w:sz w:val="24"/>
              </w:rPr>
              <w:t>onfirms the biological death of a person, describes supra</w:t>
            </w:r>
            <w:r w:rsidR="001A4ACA">
              <w:rPr>
                <w:sz w:val="24"/>
              </w:rPr>
              <w:t xml:space="preserve"> </w:t>
            </w:r>
            <w:r>
              <w:rPr>
                <w:sz w:val="24"/>
              </w:rPr>
              <w:t>vital reactions, early and late cadaveric phenomena</w:t>
            </w:r>
          </w:p>
          <w:p w:rsidR="00B50549" w:rsidRDefault="00075577">
            <w:pPr>
              <w:pStyle w:val="TableParagraph"/>
              <w:rPr>
                <w:sz w:val="24"/>
              </w:rPr>
            </w:pPr>
            <w:r>
              <w:rPr>
                <w:sz w:val="24"/>
              </w:rPr>
              <w:t>PC-8-1. Defines the tactics of managing patients with various nosological forms</w:t>
            </w:r>
          </w:p>
          <w:p w:rsidR="00B50549" w:rsidRDefault="00075577">
            <w:pPr>
              <w:pStyle w:val="TableParagraph"/>
              <w:ind w:right="108"/>
              <w:rPr>
                <w:sz w:val="24"/>
              </w:rPr>
            </w:pPr>
            <w:r>
              <w:rPr>
                <w:sz w:val="24"/>
              </w:rPr>
              <w:t>PC 8-2 Draws up a treatment plan for the disease and the patient's condition, taking into account the diagnosis, the patient's age, the clinical picture of the disease in accordance with the current procedures for the provision of medical care, clinical recommendations and ( treatment protocols) on issues of providing medical care, taking into account the standards of medical care</w:t>
            </w:r>
          </w:p>
          <w:p w:rsidR="001A4ACA" w:rsidRDefault="00075577" w:rsidP="001A4ACA">
            <w:pPr>
              <w:pStyle w:val="TableParagraph"/>
              <w:ind w:right="173"/>
              <w:rPr>
                <w:sz w:val="24"/>
              </w:rPr>
            </w:pPr>
            <w:r>
              <w:rPr>
                <w:sz w:val="24"/>
              </w:rPr>
              <w:t xml:space="preserve">PC8-3. Capable of </w:t>
            </w:r>
            <w:r w:rsidR="002A6316" w:rsidRPr="002A6316">
              <w:rPr>
                <w:sz w:val="24"/>
              </w:rPr>
              <w:t xml:space="preserve">using medicinal </w:t>
            </w:r>
            <w:r>
              <w:rPr>
                <w:spacing w:val="-2"/>
                <w:sz w:val="24"/>
              </w:rPr>
              <w:t>preparations,</w:t>
            </w:r>
            <w:r w:rsidR="001A4ACA">
              <w:rPr>
                <w:sz w:val="24"/>
              </w:rPr>
              <w:t xml:space="preserve"> medical products and therapeutic nutrition for diseases and conditions of the patient in accordance with the current procedures for the provision of medical care, clinical recommendations (treatment protocols) on issues of providing medical care, taking into account the standards of medical care using modern </w:t>
            </w:r>
            <w:r w:rsidR="001A4ACA">
              <w:rPr>
                <w:spacing w:val="-2"/>
                <w:sz w:val="24"/>
              </w:rPr>
              <w:t>methods</w:t>
            </w:r>
          </w:p>
          <w:p w:rsidR="001A4ACA" w:rsidRDefault="001A4ACA" w:rsidP="001A4ACA">
            <w:pPr>
              <w:pStyle w:val="TableParagraph"/>
              <w:rPr>
                <w:sz w:val="24"/>
              </w:rPr>
            </w:pPr>
            <w:r>
              <w:rPr>
                <w:sz w:val="24"/>
              </w:rPr>
              <w:t>PC 14-1. Defines indications and contraindications for the prescription of therapeutic exercise, physiotherapy, reflexology, herbal medicine , rehabilitation measures and other non-drug therapy</w:t>
            </w:r>
          </w:p>
          <w:p w:rsidR="001A4ACA" w:rsidRDefault="001A4ACA" w:rsidP="001A4ACA">
            <w:pPr>
              <w:pStyle w:val="TableParagraph"/>
              <w:rPr>
                <w:sz w:val="24"/>
              </w:rPr>
            </w:pPr>
            <w:r>
              <w:rPr>
                <w:sz w:val="24"/>
              </w:rPr>
              <w:t>PC14-2. Prepares and issues medical documents when referring patients for spa treatment</w:t>
            </w:r>
          </w:p>
          <w:p w:rsidR="00B50549" w:rsidRDefault="00B50549">
            <w:pPr>
              <w:pStyle w:val="TableParagraph"/>
              <w:spacing w:line="264" w:lineRule="exact"/>
              <w:rPr>
                <w:sz w:val="24"/>
              </w:rPr>
            </w:pPr>
          </w:p>
        </w:tc>
      </w:tr>
    </w:tbl>
    <w:p w:rsidR="00B50549" w:rsidRDefault="00B50549">
      <w:pPr>
        <w:pStyle w:val="TableParagraph"/>
        <w:spacing w:line="264" w:lineRule="exact"/>
        <w:rPr>
          <w:sz w:val="24"/>
        </w:rPr>
        <w:sectPr w:rsidR="00B50549">
          <w:type w:val="continuous"/>
          <w:pgSz w:w="11900" w:h="16840"/>
          <w:pgMar w:top="1120" w:right="708" w:bottom="280" w:left="1700" w:header="720" w:footer="720"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9"/>
      </w:tblGrid>
      <w:tr w:rsidR="00B50549" w:rsidTr="001A4ACA">
        <w:trPr>
          <w:trHeight w:val="8779"/>
        </w:trPr>
        <w:tc>
          <w:tcPr>
            <w:tcW w:w="1723" w:type="dxa"/>
          </w:tcPr>
          <w:p w:rsidR="00B50549" w:rsidRDefault="00B50549">
            <w:pPr>
              <w:pStyle w:val="TableParagraph"/>
              <w:ind w:left="0"/>
            </w:pPr>
          </w:p>
        </w:tc>
        <w:tc>
          <w:tcPr>
            <w:tcW w:w="7339" w:type="dxa"/>
          </w:tcPr>
          <w:p w:rsidR="00B50549" w:rsidRDefault="00075577">
            <w:pPr>
              <w:pStyle w:val="TableParagraph"/>
              <w:ind w:right="59"/>
              <w:rPr>
                <w:sz w:val="24"/>
              </w:rPr>
            </w:pPr>
            <w:r>
              <w:rPr>
                <w:sz w:val="24"/>
              </w:rPr>
              <w:t xml:space="preserve">PC 14-3 Performs medical rehabilitation activities for the patient in accordance with the current procedures for the provision of medical care, clinical recommendations (treatment protocols) on issues of providing medical care taking into account the standards of medical care (treatment) on issues of providing medical care taking into account the standards of medical care skills to assess the effectiveness and safety of medical rehabilitation activities for the patient in accordance with the current procedures for the provision of medical care, clinical recommendations (treatment protocols) on issues of providing medical care taking into account the standards of medical </w:t>
            </w:r>
            <w:r>
              <w:rPr>
                <w:spacing w:val="-2"/>
                <w:sz w:val="24"/>
              </w:rPr>
              <w:t>care</w:t>
            </w:r>
          </w:p>
          <w:p w:rsidR="00B50549" w:rsidRDefault="00075577">
            <w:pPr>
              <w:pStyle w:val="TableParagraph"/>
              <w:ind w:right="102"/>
              <w:rPr>
                <w:sz w:val="24"/>
              </w:rPr>
            </w:pPr>
            <w:r>
              <w:rPr>
                <w:sz w:val="24"/>
              </w:rPr>
              <w:t>PC-15.1. Teaches patients and their relatives basic hygienic measures of a health-improving nature, skills of self-monitoring of basic physiological indicators, and disease prevention</w:t>
            </w:r>
          </w:p>
          <w:p w:rsidR="00B50549" w:rsidRDefault="00075577">
            <w:pPr>
              <w:pStyle w:val="TableParagraph"/>
              <w:rPr>
                <w:sz w:val="24"/>
              </w:rPr>
            </w:pPr>
            <w:r>
              <w:rPr>
                <w:sz w:val="24"/>
              </w:rPr>
              <w:t>PC-15-2. Determines the characteristics and stages of the patient's acceptance of the disease and the degree of their influence on the effectiveness of training in the system of health-improving measures that contribute to the preservation and strengthening of health, disease prevention</w:t>
            </w:r>
          </w:p>
          <w:p w:rsidR="00B50549" w:rsidRDefault="00075577">
            <w:pPr>
              <w:pStyle w:val="TableParagraph"/>
              <w:ind w:right="658"/>
              <w:rPr>
                <w:sz w:val="24"/>
              </w:rPr>
            </w:pPr>
            <w:r>
              <w:rPr>
                <w:sz w:val="24"/>
              </w:rPr>
              <w:t>PC 15-3 has the skills of self-monitoring the main physiological indicators that contribute to maintaining and strengthening health, preventing diseases</w:t>
            </w:r>
          </w:p>
          <w:p w:rsidR="00B50549" w:rsidRDefault="00075577">
            <w:pPr>
              <w:pStyle w:val="TableParagraph"/>
              <w:ind w:right="271"/>
              <w:rPr>
                <w:sz w:val="24"/>
              </w:rPr>
            </w:pPr>
            <w:r>
              <w:rPr>
                <w:sz w:val="24"/>
              </w:rPr>
              <w:t>PC 16-1. Ready for health education work to eliminate risk factors and develop elements of a healthy lifestyle, including programs to reduce alcohol and tobacco consumption, prevent and combat non-medical use of narcotic drugs and psychotropic substances</w:t>
            </w:r>
          </w:p>
          <w:p w:rsidR="00B50549" w:rsidRDefault="00075577">
            <w:pPr>
              <w:pStyle w:val="TableParagraph"/>
              <w:rPr>
                <w:sz w:val="24"/>
              </w:rPr>
            </w:pPr>
            <w:r>
              <w:rPr>
                <w:sz w:val="24"/>
              </w:rPr>
              <w:t>PC 16-2 identifies the features, defines the forms and methods of educational activities of medical workers among patients and the population to eliminate risk factors and develop healthy lifestyle skills</w:t>
            </w:r>
          </w:p>
          <w:p w:rsidR="00B50549" w:rsidRDefault="00075577">
            <w:pPr>
              <w:pStyle w:val="TableParagraph"/>
              <w:spacing w:line="270" w:lineRule="atLeast"/>
              <w:rPr>
                <w:sz w:val="24"/>
              </w:rPr>
            </w:pPr>
            <w:r>
              <w:rPr>
                <w:sz w:val="24"/>
              </w:rPr>
              <w:t>PC16-3. Has skills in health education work, including the development of healthy lifestyle skills, an algorithm for assessing individual risk factors for the development of the most common diseases</w:t>
            </w:r>
          </w:p>
        </w:tc>
      </w:tr>
      <w:tr w:rsidR="00B50549">
        <w:trPr>
          <w:trHeight w:val="551"/>
        </w:trPr>
        <w:tc>
          <w:tcPr>
            <w:tcW w:w="1723" w:type="dxa"/>
          </w:tcPr>
          <w:p w:rsidR="00B50549" w:rsidRDefault="00075577">
            <w:pPr>
              <w:pStyle w:val="TableParagraph"/>
              <w:spacing w:line="268" w:lineRule="exact"/>
              <w:ind w:left="107"/>
              <w:rPr>
                <w:sz w:val="24"/>
              </w:rPr>
            </w:pPr>
            <w:r>
              <w:rPr>
                <w:spacing w:val="-2"/>
                <w:sz w:val="24"/>
              </w:rPr>
              <w:t>Labor intensity,</w:t>
            </w:r>
          </w:p>
          <w:p w:rsidR="00B50549" w:rsidRDefault="001A4ACA" w:rsidP="001A4ACA">
            <w:pPr>
              <w:pStyle w:val="TableParagraph"/>
              <w:spacing w:line="264" w:lineRule="exact"/>
              <w:ind w:left="107"/>
              <w:rPr>
                <w:sz w:val="24"/>
              </w:rPr>
            </w:pPr>
            <w:proofErr w:type="spellStart"/>
            <w:r>
              <w:rPr>
                <w:spacing w:val="-2"/>
                <w:sz w:val="24"/>
              </w:rPr>
              <w:t>c</w:t>
            </w:r>
            <w:r w:rsidR="00075577">
              <w:rPr>
                <w:spacing w:val="-2"/>
                <w:sz w:val="24"/>
              </w:rPr>
              <w:t>.</w:t>
            </w:r>
            <w:r>
              <w:rPr>
                <w:spacing w:val="-2"/>
                <w:sz w:val="24"/>
              </w:rPr>
              <w:t>u</w:t>
            </w:r>
            <w:proofErr w:type="spellEnd"/>
            <w:r w:rsidR="00075577">
              <w:rPr>
                <w:spacing w:val="-2"/>
                <w:sz w:val="24"/>
              </w:rPr>
              <w:t>./hour​</w:t>
            </w:r>
          </w:p>
        </w:tc>
        <w:tc>
          <w:tcPr>
            <w:tcW w:w="7339" w:type="dxa"/>
          </w:tcPr>
          <w:p w:rsidR="00B50549" w:rsidRDefault="00075577" w:rsidP="001A4ACA">
            <w:pPr>
              <w:pStyle w:val="TableParagraph"/>
              <w:spacing w:line="268" w:lineRule="exact"/>
              <w:rPr>
                <w:sz w:val="24"/>
              </w:rPr>
            </w:pPr>
            <w:r>
              <w:rPr>
                <w:sz w:val="24"/>
              </w:rPr>
              <w:t>5</w:t>
            </w:r>
            <w:r w:rsidR="001A4ACA">
              <w:rPr>
                <w:sz w:val="24"/>
              </w:rPr>
              <w:t>c</w:t>
            </w:r>
            <w:r>
              <w:rPr>
                <w:sz w:val="24"/>
              </w:rPr>
              <w:t>.</w:t>
            </w:r>
            <w:r w:rsidR="001A4ACA">
              <w:rPr>
                <w:sz w:val="24"/>
              </w:rPr>
              <w:t>u</w:t>
            </w:r>
            <w:r>
              <w:rPr>
                <w:sz w:val="24"/>
              </w:rPr>
              <w:t xml:space="preserve">.(31/3weeks,180 </w:t>
            </w:r>
            <w:r>
              <w:rPr>
                <w:spacing w:val="-2"/>
                <w:sz w:val="24"/>
              </w:rPr>
              <w:t>hours)</w:t>
            </w:r>
          </w:p>
        </w:tc>
      </w:tr>
      <w:tr w:rsidR="00B50549">
        <w:trPr>
          <w:trHeight w:val="553"/>
        </w:trPr>
        <w:tc>
          <w:tcPr>
            <w:tcW w:w="1723" w:type="dxa"/>
          </w:tcPr>
          <w:p w:rsidR="00B50549" w:rsidRDefault="00075577">
            <w:pPr>
              <w:pStyle w:val="TableParagraph"/>
              <w:spacing w:line="270" w:lineRule="exact"/>
              <w:ind w:left="107"/>
              <w:rPr>
                <w:sz w:val="24"/>
              </w:rPr>
            </w:pPr>
            <w:r>
              <w:rPr>
                <w:spacing w:val="-2"/>
                <w:sz w:val="24"/>
              </w:rPr>
              <w:t>Forms</w:t>
            </w:r>
          </w:p>
          <w:p w:rsidR="00B50549" w:rsidRDefault="00075577" w:rsidP="001A4ACA">
            <w:pPr>
              <w:pStyle w:val="TableParagraph"/>
              <w:spacing w:line="270" w:lineRule="exact"/>
              <w:ind w:left="107"/>
              <w:rPr>
                <w:spacing w:val="-7"/>
                <w:sz w:val="24"/>
              </w:rPr>
            </w:pPr>
            <w:r>
              <w:rPr>
                <w:sz w:val="24"/>
              </w:rPr>
              <w:t>reporting</w:t>
            </w:r>
            <w:r w:rsidR="002A6316">
              <w:rPr>
                <w:sz w:val="24"/>
                <w:lang w:val="en-US"/>
              </w:rPr>
              <w:t xml:space="preserve"> </w:t>
            </w:r>
            <w:r>
              <w:rPr>
                <w:spacing w:val="-7"/>
                <w:sz w:val="24"/>
              </w:rPr>
              <w:t>(</w:t>
            </w:r>
            <w:r w:rsidR="001A4ACA">
              <w:rPr>
                <w:sz w:val="24"/>
              </w:rPr>
              <w:t xml:space="preserve"> incl. </w:t>
            </w:r>
            <w:r w:rsidR="001A4ACA">
              <w:rPr>
                <w:spacing w:val="-5"/>
                <w:sz w:val="24"/>
              </w:rPr>
              <w:t xml:space="preserve">by </w:t>
            </w:r>
            <w:r w:rsidR="001A4ACA">
              <w:rPr>
                <w:spacing w:val="-2"/>
                <w:sz w:val="24"/>
              </w:rPr>
              <w:t>semesters)</w:t>
            </w:r>
          </w:p>
          <w:p w:rsidR="001A4ACA" w:rsidRDefault="001A4ACA">
            <w:pPr>
              <w:pStyle w:val="TableParagraph"/>
              <w:spacing w:line="264" w:lineRule="exact"/>
              <w:ind w:left="107"/>
              <w:rPr>
                <w:spacing w:val="-7"/>
                <w:sz w:val="24"/>
              </w:rPr>
            </w:pPr>
          </w:p>
          <w:p w:rsidR="001A4ACA" w:rsidRDefault="001A4ACA">
            <w:pPr>
              <w:pStyle w:val="TableParagraph"/>
              <w:spacing w:line="264" w:lineRule="exact"/>
              <w:ind w:left="107"/>
              <w:rPr>
                <w:sz w:val="24"/>
              </w:rPr>
            </w:pPr>
          </w:p>
        </w:tc>
        <w:tc>
          <w:tcPr>
            <w:tcW w:w="7339" w:type="dxa"/>
          </w:tcPr>
          <w:p w:rsidR="00B50549" w:rsidRDefault="00075577" w:rsidP="001A4ACA">
            <w:pPr>
              <w:pStyle w:val="TableParagraph"/>
              <w:spacing w:line="270" w:lineRule="exact"/>
              <w:rPr>
                <w:sz w:val="24"/>
              </w:rPr>
            </w:pPr>
            <w:r>
              <w:rPr>
                <w:sz w:val="24"/>
              </w:rPr>
              <w:t>Credit</w:t>
            </w:r>
            <w:r w:rsidR="002A6316">
              <w:rPr>
                <w:sz w:val="24"/>
                <w:lang w:val="en-US"/>
              </w:rPr>
              <w:t xml:space="preserve"> </w:t>
            </w:r>
            <w:r w:rsidR="001A4ACA">
              <w:rPr>
                <w:sz w:val="24"/>
              </w:rPr>
              <w:t>w</w:t>
            </w:r>
            <w:r>
              <w:rPr>
                <w:sz w:val="24"/>
              </w:rPr>
              <w:t>ith</w:t>
            </w:r>
            <w:r w:rsidR="002A6316">
              <w:rPr>
                <w:sz w:val="24"/>
                <w:lang w:val="en-US"/>
              </w:rPr>
              <w:t xml:space="preserve"> </w:t>
            </w:r>
            <w:r>
              <w:rPr>
                <w:sz w:val="24"/>
              </w:rPr>
              <w:t xml:space="preserve">assessment/6th </w:t>
            </w:r>
            <w:r>
              <w:rPr>
                <w:spacing w:val="-2"/>
                <w:sz w:val="24"/>
              </w:rPr>
              <w:t>semester</w:t>
            </w:r>
          </w:p>
        </w:tc>
      </w:tr>
    </w:tbl>
    <w:p w:rsidR="00B50549" w:rsidRDefault="00B50549">
      <w:pPr>
        <w:pStyle w:val="TableParagraph"/>
        <w:spacing w:line="270" w:lineRule="exact"/>
        <w:rPr>
          <w:sz w:val="24"/>
        </w:rPr>
        <w:sectPr w:rsidR="00B50549">
          <w:type w:val="continuous"/>
          <w:pgSz w:w="11900" w:h="16840"/>
          <w:pgMar w:top="1120" w:right="708" w:bottom="1052" w:left="1700" w:header="720" w:footer="720" w:gutter="0"/>
          <w:cols w:space="720"/>
        </w:sectPr>
      </w:pPr>
    </w:p>
    <w:p w:rsidR="00075577" w:rsidRDefault="00075577"/>
    <w:sectPr w:rsidR="00075577" w:rsidSect="00B50549">
      <w:type w:val="continuous"/>
      <w:pgSz w:w="11900" w:h="16840"/>
      <w:pgMar w:top="112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50549"/>
    <w:rsid w:val="00075577"/>
    <w:rsid w:val="001A4ACA"/>
    <w:rsid w:val="002A6316"/>
    <w:rsid w:val="003952BB"/>
    <w:rsid w:val="00B50549"/>
    <w:rsid w:val="00ED2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05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0549"/>
    <w:tblPr>
      <w:tblInd w:w="0" w:type="dxa"/>
      <w:tblCellMar>
        <w:top w:w="0" w:type="dxa"/>
        <w:left w:w="0" w:type="dxa"/>
        <w:bottom w:w="0" w:type="dxa"/>
        <w:right w:w="0" w:type="dxa"/>
      </w:tblCellMar>
    </w:tblPr>
  </w:style>
  <w:style w:type="paragraph" w:styleId="a3">
    <w:name w:val="Body Text"/>
    <w:basedOn w:val="a"/>
    <w:uiPriority w:val="1"/>
    <w:qFormat/>
    <w:rsid w:val="00B50549"/>
    <w:pPr>
      <w:spacing w:before="49"/>
    </w:pPr>
    <w:rPr>
      <w:b/>
      <w:bCs/>
      <w:sz w:val="24"/>
      <w:szCs w:val="24"/>
    </w:rPr>
  </w:style>
  <w:style w:type="paragraph" w:styleId="a4">
    <w:name w:val="List Paragraph"/>
    <w:basedOn w:val="a"/>
    <w:uiPriority w:val="1"/>
    <w:qFormat/>
    <w:rsid w:val="00B50549"/>
  </w:style>
  <w:style w:type="paragraph" w:customStyle="1" w:styleId="TableParagraph">
    <w:name w:val="Table Paragraph"/>
    <w:basedOn w:val="a"/>
    <w:uiPriority w:val="1"/>
    <w:qFormat/>
    <w:rsid w:val="00B50549"/>
    <w:pPr>
      <w:ind w:left="10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Microsoft Word - ebb_5905875_335682325_5</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ebb_5905875_335682325_5</dc:title>
  <dc:creator>Mar</dc:creator>
  <cp:lastModifiedBy>Admin</cp:lastModifiedBy>
  <cp:revision>4</cp:revision>
  <dcterms:created xsi:type="dcterms:W3CDTF">2025-04-12T09:10:00Z</dcterms:created>
  <dcterms:modified xsi:type="dcterms:W3CDTF">2025-04-12T10:36:00Z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PDF24 Creator</vt:lpwstr>
  </property>
  <property fmtid="{D5CDD505-2E9C-101B-9397-08002B2CF9AE}" pid="4" name="LastSaved">
    <vt:filetime>2025-04-12T00:00:00Z</vt:filetime>
  </property>
  <property fmtid="{D5CDD505-2E9C-101B-9397-08002B2CF9AE}" pid="5" name="Producer">
    <vt:lpwstr>GPL Ghostscript 9.55.0</vt:lpwstr>
  </property>
</Properties>
</file>