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BD" w:rsidRDefault="003B425E">
      <w:pPr>
        <w:pStyle w:val="a3"/>
        <w:spacing w:before="64"/>
        <w:ind w:left="153"/>
        <w:jc w:val="center"/>
      </w:pPr>
      <w:r>
        <w:rPr>
          <w:spacing w:val="-10"/>
        </w:rPr>
        <w:t xml:space="preserve">Abstract of </w:t>
      </w:r>
      <w:r>
        <w:rPr>
          <w:spacing w:val="-2"/>
        </w:rPr>
        <w:t>practice</w:t>
      </w:r>
    </w:p>
    <w:p w:rsidR="006938BD" w:rsidRDefault="006938BD">
      <w:pPr>
        <w:spacing w:before="50"/>
        <w:rPr>
          <w:b/>
          <w:sz w:val="20"/>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8"/>
        <w:gridCol w:w="7222"/>
      </w:tblGrid>
      <w:tr w:rsidR="006938BD" w:rsidTr="007B7540">
        <w:trPr>
          <w:trHeight w:val="1207"/>
        </w:trPr>
        <w:tc>
          <w:tcPr>
            <w:tcW w:w="1838" w:type="dxa"/>
          </w:tcPr>
          <w:p w:rsidR="007B7540" w:rsidRPr="007B7540" w:rsidRDefault="003B425E">
            <w:pPr>
              <w:pStyle w:val="TableParagraph"/>
              <w:spacing w:line="480" w:lineRule="auto"/>
              <w:ind w:left="107" w:right="180"/>
              <w:rPr>
                <w:sz w:val="24"/>
                <w:lang w:val="en-US"/>
              </w:rPr>
            </w:pPr>
            <w:r>
              <w:rPr>
                <w:sz w:val="24"/>
              </w:rPr>
              <w:t xml:space="preserve">Type of practice </w:t>
            </w:r>
          </w:p>
          <w:p w:rsidR="006938BD" w:rsidRDefault="006938BD">
            <w:pPr>
              <w:pStyle w:val="TableParagraph"/>
              <w:spacing w:line="480" w:lineRule="auto"/>
              <w:ind w:left="107" w:right="180"/>
              <w:rPr>
                <w:sz w:val="24"/>
              </w:rPr>
            </w:pPr>
          </w:p>
        </w:tc>
        <w:tc>
          <w:tcPr>
            <w:tcW w:w="7222" w:type="dxa"/>
          </w:tcPr>
          <w:p w:rsidR="006938BD" w:rsidRDefault="003B425E">
            <w:pPr>
              <w:pStyle w:val="TableParagraph"/>
              <w:spacing w:line="270" w:lineRule="exact"/>
              <w:rPr>
                <w:sz w:val="24"/>
              </w:rPr>
            </w:pPr>
            <w:r>
              <w:rPr>
                <w:spacing w:val="-2"/>
                <w:sz w:val="24"/>
              </w:rPr>
              <w:t>Industrial practice</w:t>
            </w:r>
          </w:p>
          <w:p w:rsidR="006938BD" w:rsidRDefault="006938BD">
            <w:pPr>
              <w:pStyle w:val="TableParagraph"/>
              <w:ind w:left="0"/>
              <w:rPr>
                <w:b/>
                <w:sz w:val="24"/>
              </w:rPr>
            </w:pPr>
          </w:p>
          <w:p w:rsidR="006938BD" w:rsidRDefault="003B425E">
            <w:pPr>
              <w:pStyle w:val="TableParagraph"/>
              <w:rPr>
                <w:sz w:val="24"/>
              </w:rPr>
            </w:pPr>
            <w:r>
              <w:rPr>
                <w:sz w:val="24"/>
              </w:rPr>
              <w:t>Practice in obtaining professional skills and experience of professional activity in the positions of mid-level medical personnel</w:t>
            </w:r>
          </w:p>
        </w:tc>
      </w:tr>
      <w:tr w:rsidR="006938BD" w:rsidTr="007B7540">
        <w:trPr>
          <w:trHeight w:val="928"/>
        </w:trPr>
        <w:tc>
          <w:tcPr>
            <w:tcW w:w="1838" w:type="dxa"/>
          </w:tcPr>
          <w:p w:rsidR="006938BD" w:rsidRPr="007B7540" w:rsidRDefault="003B425E" w:rsidP="007B7540">
            <w:pPr>
              <w:pStyle w:val="TableParagraph"/>
              <w:ind w:left="107" w:right="180"/>
              <w:rPr>
                <w:sz w:val="24"/>
                <w:lang w:val="en-US"/>
              </w:rPr>
            </w:pPr>
            <w:r>
              <w:rPr>
                <w:sz w:val="24"/>
              </w:rPr>
              <w:t xml:space="preserve">Methods and </w:t>
            </w:r>
            <w:r>
              <w:rPr>
                <w:spacing w:val="-2"/>
                <w:sz w:val="24"/>
              </w:rPr>
              <w:t xml:space="preserve">forms of </w:t>
            </w:r>
            <w:r w:rsidR="007B7540">
              <w:rPr>
                <w:spacing w:val="-2"/>
                <w:sz w:val="24"/>
              </w:rPr>
              <w:t>implementation</w:t>
            </w:r>
          </w:p>
        </w:tc>
        <w:tc>
          <w:tcPr>
            <w:tcW w:w="7222" w:type="dxa"/>
          </w:tcPr>
          <w:p w:rsidR="006938BD" w:rsidRDefault="003B425E">
            <w:pPr>
              <w:pStyle w:val="TableParagraph"/>
              <w:spacing w:line="268" w:lineRule="exact"/>
              <w:rPr>
                <w:sz w:val="24"/>
              </w:rPr>
            </w:pPr>
            <w:r>
              <w:rPr>
                <w:sz w:val="24"/>
              </w:rPr>
              <w:t xml:space="preserve">Stationary, mobile/ </w:t>
            </w:r>
            <w:r>
              <w:rPr>
                <w:spacing w:val="-2"/>
                <w:sz w:val="24"/>
              </w:rPr>
              <w:t>discrete</w:t>
            </w:r>
          </w:p>
        </w:tc>
      </w:tr>
      <w:tr w:rsidR="006938BD" w:rsidTr="007B7540">
        <w:trPr>
          <w:trHeight w:val="551"/>
        </w:trPr>
        <w:tc>
          <w:tcPr>
            <w:tcW w:w="1838" w:type="dxa"/>
          </w:tcPr>
          <w:p w:rsidR="006938BD" w:rsidRDefault="003B425E">
            <w:pPr>
              <w:pStyle w:val="TableParagraph"/>
              <w:spacing w:line="268" w:lineRule="exact"/>
              <w:ind w:left="107"/>
              <w:rPr>
                <w:sz w:val="24"/>
              </w:rPr>
            </w:pPr>
            <w:r>
              <w:rPr>
                <w:spacing w:val="-2"/>
                <w:sz w:val="24"/>
              </w:rPr>
              <w:t>Implemented</w:t>
            </w:r>
          </w:p>
          <w:p w:rsidR="006938BD" w:rsidRDefault="003B425E">
            <w:pPr>
              <w:pStyle w:val="TableParagraph"/>
              <w:spacing w:line="264" w:lineRule="exact"/>
              <w:ind w:left="107"/>
              <w:rPr>
                <w:sz w:val="24"/>
              </w:rPr>
            </w:pPr>
            <w:r>
              <w:rPr>
                <w:spacing w:val="-2"/>
                <w:sz w:val="24"/>
              </w:rPr>
              <w:t>competencies</w:t>
            </w:r>
          </w:p>
        </w:tc>
        <w:tc>
          <w:tcPr>
            <w:tcW w:w="7222" w:type="dxa"/>
          </w:tcPr>
          <w:p w:rsidR="006938BD" w:rsidRDefault="003B425E">
            <w:pPr>
              <w:pStyle w:val="TableParagraph"/>
              <w:spacing w:line="268" w:lineRule="exact"/>
              <w:rPr>
                <w:sz w:val="24"/>
              </w:rPr>
            </w:pPr>
            <w:r>
              <w:rPr>
                <w:sz w:val="24"/>
              </w:rPr>
              <w:t xml:space="preserve">PC-1, PC-2, PC </w:t>
            </w:r>
            <w:r>
              <w:rPr>
                <w:spacing w:val="-10"/>
                <w:sz w:val="24"/>
              </w:rPr>
              <w:t>-5</w:t>
            </w:r>
          </w:p>
        </w:tc>
      </w:tr>
      <w:tr w:rsidR="006938BD" w:rsidTr="007B7540">
        <w:trPr>
          <w:trHeight w:val="1978"/>
        </w:trPr>
        <w:tc>
          <w:tcPr>
            <w:tcW w:w="1838" w:type="dxa"/>
          </w:tcPr>
          <w:p w:rsidR="006938BD" w:rsidRDefault="003B425E">
            <w:pPr>
              <w:pStyle w:val="TableParagraph"/>
              <w:ind w:left="107" w:right="180"/>
              <w:rPr>
                <w:sz w:val="24"/>
              </w:rPr>
            </w:pPr>
            <w:r>
              <w:rPr>
                <w:spacing w:val="-2"/>
                <w:sz w:val="24"/>
              </w:rPr>
              <w:t>Results of mastering the practice</w:t>
            </w:r>
          </w:p>
        </w:tc>
        <w:tc>
          <w:tcPr>
            <w:tcW w:w="7222" w:type="dxa"/>
          </w:tcPr>
          <w:p w:rsidR="006938BD" w:rsidRDefault="003B425E">
            <w:pPr>
              <w:pStyle w:val="TableParagraph"/>
              <w:ind w:right="94"/>
              <w:jc w:val="both"/>
              <w:rPr>
                <w:sz w:val="24"/>
              </w:rPr>
            </w:pPr>
            <w:r>
              <w:rPr>
                <w:sz w:val="24"/>
              </w:rPr>
              <w:t>PC1-1 Assesses the condition of a patient requiring emergency or urgent medical care</w:t>
            </w:r>
          </w:p>
          <w:p w:rsidR="006938BD" w:rsidRDefault="003B425E">
            <w:pPr>
              <w:pStyle w:val="TableParagraph"/>
              <w:ind w:right="96"/>
              <w:jc w:val="both"/>
              <w:rPr>
                <w:sz w:val="24"/>
              </w:rPr>
            </w:pPr>
            <w:r>
              <w:rPr>
                <w:sz w:val="24"/>
              </w:rPr>
              <w:t>PC1-2 Recognizes conditions that arise during sudden acute illnesses, exacerbation of chronic diseases without obvious signs of a threat to the patient's life and requiring emergency medical care</w:t>
            </w:r>
          </w:p>
          <w:p w:rsidR="006938BD" w:rsidRDefault="003B425E">
            <w:pPr>
              <w:pStyle w:val="TableParagraph"/>
              <w:ind w:right="92"/>
              <w:jc w:val="both"/>
              <w:rPr>
                <w:sz w:val="24"/>
              </w:rPr>
            </w:pPr>
            <w:r>
              <w:rPr>
                <w:sz w:val="24"/>
              </w:rPr>
              <w:t>PC1-3 Provides emergency medical care to patients with sudden acute illnesses, conditions, exacerbation of chronic diseases without obvious signs of a threat to the patient's life</w:t>
            </w:r>
          </w:p>
          <w:p w:rsidR="006938BD" w:rsidRDefault="003B425E">
            <w:pPr>
              <w:pStyle w:val="TableParagraph"/>
              <w:ind w:right="93"/>
              <w:jc w:val="both"/>
              <w:rPr>
                <w:sz w:val="24"/>
              </w:rPr>
            </w:pPr>
            <w:r>
              <w:rPr>
                <w:sz w:val="24"/>
              </w:rPr>
              <w:t>PC1-4 Recognizes conditions that pose a threat to the patient's life, including conditions of clinical death (cessation of vital functions of the human body (circulation and/or respiration), requiring emergency medical care</w:t>
            </w:r>
          </w:p>
          <w:p w:rsidR="006938BD" w:rsidRDefault="003B425E">
            <w:pPr>
              <w:pStyle w:val="TableParagraph"/>
              <w:ind w:right="92"/>
              <w:jc w:val="both"/>
              <w:rPr>
                <w:sz w:val="24"/>
              </w:rPr>
            </w:pPr>
            <w:r>
              <w:rPr>
                <w:sz w:val="24"/>
              </w:rPr>
              <w:t>PC1-5 Provides emergency medical care to patients in conditions that pose a threat to the patient's life, including clinical death (cessation of vital functions of the human body (circulation and/or respiration)</w:t>
            </w:r>
          </w:p>
          <w:p w:rsidR="006938BD" w:rsidRDefault="003B425E">
            <w:pPr>
              <w:pStyle w:val="TableParagraph"/>
              <w:ind w:right="95"/>
              <w:jc w:val="both"/>
              <w:rPr>
                <w:sz w:val="24"/>
              </w:rPr>
            </w:pPr>
            <w:r>
              <w:rPr>
                <w:sz w:val="24"/>
              </w:rPr>
              <w:t xml:space="preserve">PC1-6 Uses drugs and medical products when providing medical care in emergency or urgent </w:t>
            </w:r>
            <w:r>
              <w:rPr>
                <w:spacing w:val="-2"/>
                <w:sz w:val="24"/>
              </w:rPr>
              <w:t>forms</w:t>
            </w:r>
          </w:p>
          <w:p w:rsidR="006938BD" w:rsidRDefault="003B425E">
            <w:pPr>
              <w:pStyle w:val="TableParagraph"/>
              <w:ind w:right="97"/>
              <w:jc w:val="both"/>
              <w:rPr>
                <w:sz w:val="24"/>
              </w:rPr>
            </w:pPr>
            <w:r>
              <w:rPr>
                <w:sz w:val="24"/>
              </w:rPr>
              <w:t>PC-2-1. Conducts medical examinations taking into account age, health status, profession in accordance with current regulatory legal acts and other documents</w:t>
            </w:r>
          </w:p>
          <w:p w:rsidR="006938BD" w:rsidRDefault="003B425E">
            <w:pPr>
              <w:pStyle w:val="TableParagraph"/>
              <w:ind w:right="96"/>
              <w:jc w:val="both"/>
              <w:rPr>
                <w:sz w:val="24"/>
              </w:rPr>
            </w:pPr>
            <w:r>
              <w:rPr>
                <w:sz w:val="24"/>
              </w:rPr>
              <w:t>PC-2-2. Organizes medical examinations for the purpose of early detection of chronic non-communicable diseases, the main risk factors for their development</w:t>
            </w:r>
          </w:p>
          <w:p w:rsidR="006938BD" w:rsidRDefault="003B425E">
            <w:pPr>
              <w:pStyle w:val="TableParagraph"/>
              <w:ind w:right="92"/>
              <w:jc w:val="both"/>
              <w:rPr>
                <w:sz w:val="24"/>
              </w:rPr>
            </w:pPr>
            <w:r>
              <w:rPr>
                <w:sz w:val="24"/>
              </w:rPr>
              <w:t>PC 3-3 Conducts outpatient monitoring of patients with identified chronic non-communicable diseases</w:t>
            </w:r>
          </w:p>
          <w:p w:rsidR="006938BD" w:rsidRDefault="003B425E">
            <w:pPr>
              <w:pStyle w:val="TableParagraph"/>
              <w:ind w:right="93"/>
              <w:jc w:val="both"/>
              <w:rPr>
                <w:sz w:val="24"/>
              </w:rPr>
            </w:pPr>
            <w:r>
              <w:rPr>
                <w:sz w:val="24"/>
              </w:rPr>
              <w:t>PC-5-1 Collects complaints, anamnesis of life and disease of the patient and a complete physical examination of the patient (inspection, palpation, percussion, auscultation)</w:t>
            </w:r>
          </w:p>
          <w:p w:rsidR="006938BD" w:rsidRDefault="003B425E">
            <w:pPr>
              <w:pStyle w:val="TableParagraph"/>
              <w:ind w:right="97"/>
              <w:jc w:val="both"/>
              <w:rPr>
                <w:sz w:val="24"/>
              </w:rPr>
            </w:pPr>
            <w:r>
              <w:rPr>
                <w:sz w:val="24"/>
              </w:rPr>
              <w:t>PC-5-2 Formulates a preliminary diagnosis and draws up a plan for laboratory and instrumental examinations of the patient</w:t>
            </w:r>
          </w:p>
          <w:p w:rsidR="007B7540" w:rsidRDefault="003B425E" w:rsidP="007B7540">
            <w:pPr>
              <w:pStyle w:val="TableParagraph"/>
              <w:spacing w:line="270" w:lineRule="exact"/>
              <w:rPr>
                <w:sz w:val="24"/>
              </w:rPr>
            </w:pPr>
            <w:r>
              <w:rPr>
                <w:sz w:val="24"/>
              </w:rPr>
              <w:t xml:space="preserve">PC-5-3. Refer the patient for laboratory and instrumental examination if there are medical indications in accordance with the current procedures for the provision of medical care, clinical recommendations (treatment protocols) on issues of providing medical care taking into account the standards of </w:t>
            </w:r>
            <w:r>
              <w:rPr>
                <w:spacing w:val="-2"/>
                <w:sz w:val="24"/>
              </w:rPr>
              <w:t>medical care</w:t>
            </w:r>
            <w:r w:rsidR="007B7540">
              <w:rPr>
                <w:spacing w:val="-2"/>
                <w:sz w:val="24"/>
              </w:rPr>
              <w:t xml:space="preserve"> help</w:t>
            </w:r>
          </w:p>
          <w:p w:rsidR="007B7540" w:rsidRDefault="007B7540" w:rsidP="007B7540">
            <w:pPr>
              <w:pStyle w:val="TableParagraph"/>
              <w:ind w:right="95"/>
              <w:jc w:val="both"/>
              <w:rPr>
                <w:sz w:val="24"/>
              </w:rPr>
            </w:pPr>
            <w:r>
              <w:rPr>
                <w:sz w:val="24"/>
              </w:rPr>
              <w:t xml:space="preserve">PC-5-4 Refer the patient for consultation with medical specialists if there are medical indications in accordance with the current procedures for providing medical care, clinical recommendations (treatment protocols) on issues of providing medical care, taking into account the standards of medical </w:t>
            </w:r>
            <w:r>
              <w:rPr>
                <w:spacing w:val="-2"/>
                <w:sz w:val="24"/>
              </w:rPr>
              <w:t>care</w:t>
            </w:r>
          </w:p>
          <w:p w:rsidR="007B7540" w:rsidRDefault="007B7540" w:rsidP="007B7540">
            <w:pPr>
              <w:pStyle w:val="TableParagraph"/>
              <w:ind w:right="93"/>
              <w:jc w:val="both"/>
              <w:rPr>
                <w:sz w:val="24"/>
              </w:rPr>
            </w:pPr>
            <w:r>
              <w:rPr>
                <w:sz w:val="24"/>
              </w:rPr>
              <w:lastRenderedPageBreak/>
              <w:t xml:space="preserve">PC-5-5 Refer the patient for specialized medical care in an inpatient setting or in a day hospital setting if there are medical indications in accordance with the current procedures for providing medical care, clinical guidelines (treatment protocols) on issues of providing medical care, taking into account </w:t>
            </w:r>
            <w:r>
              <w:rPr>
                <w:spacing w:val="-2"/>
                <w:sz w:val="24"/>
              </w:rPr>
              <w:t>standards</w:t>
            </w:r>
          </w:p>
          <w:p w:rsidR="006938BD" w:rsidRDefault="007B7540" w:rsidP="007B7540">
            <w:pPr>
              <w:pStyle w:val="TableParagraph"/>
              <w:spacing w:line="270" w:lineRule="atLeast"/>
              <w:ind w:right="95"/>
              <w:jc w:val="both"/>
              <w:rPr>
                <w:sz w:val="24"/>
              </w:rPr>
            </w:pPr>
            <w:r>
              <w:rPr>
                <w:sz w:val="24"/>
              </w:rPr>
              <w:t xml:space="preserve">medical </w:t>
            </w:r>
            <w:r>
              <w:rPr>
                <w:spacing w:val="-2"/>
                <w:sz w:val="24"/>
              </w:rPr>
              <w:t>care</w:t>
            </w:r>
          </w:p>
        </w:tc>
      </w:tr>
      <w:tr w:rsidR="007B7540" w:rsidTr="007B7540">
        <w:trPr>
          <w:trHeight w:val="971"/>
        </w:trPr>
        <w:tc>
          <w:tcPr>
            <w:tcW w:w="1838" w:type="dxa"/>
          </w:tcPr>
          <w:p w:rsidR="007B7540" w:rsidRDefault="007B7540" w:rsidP="002D6D2A">
            <w:pPr>
              <w:pStyle w:val="TableParagraph"/>
              <w:spacing w:line="270" w:lineRule="exact"/>
              <w:ind w:left="107"/>
              <w:rPr>
                <w:sz w:val="24"/>
              </w:rPr>
            </w:pPr>
            <w:r>
              <w:rPr>
                <w:spacing w:val="-2"/>
                <w:sz w:val="24"/>
              </w:rPr>
              <w:lastRenderedPageBreak/>
              <w:t>Labor intensity,</w:t>
            </w:r>
          </w:p>
          <w:p w:rsidR="007B7540" w:rsidRDefault="007B7540" w:rsidP="007B7540">
            <w:pPr>
              <w:pStyle w:val="TableParagraph"/>
              <w:spacing w:line="264" w:lineRule="exact"/>
              <w:ind w:left="107"/>
              <w:rPr>
                <w:sz w:val="24"/>
              </w:rPr>
            </w:pPr>
            <w:r>
              <w:rPr>
                <w:spacing w:val="-2"/>
                <w:sz w:val="24"/>
              </w:rPr>
              <w:t>c</w:t>
            </w:r>
            <w:r>
              <w:rPr>
                <w:spacing w:val="-2"/>
                <w:sz w:val="24"/>
              </w:rPr>
              <w:t>.</w:t>
            </w:r>
            <w:r>
              <w:rPr>
                <w:spacing w:val="-2"/>
                <w:sz w:val="24"/>
              </w:rPr>
              <w:t>u</w:t>
            </w:r>
            <w:r>
              <w:rPr>
                <w:spacing w:val="-2"/>
                <w:sz w:val="24"/>
              </w:rPr>
              <w:t>./hour</w:t>
            </w:r>
          </w:p>
        </w:tc>
        <w:tc>
          <w:tcPr>
            <w:tcW w:w="7222" w:type="dxa"/>
          </w:tcPr>
          <w:p w:rsidR="007B7540" w:rsidRDefault="007B7540" w:rsidP="007B7540">
            <w:pPr>
              <w:pStyle w:val="TableParagraph"/>
              <w:spacing w:line="270" w:lineRule="exact"/>
              <w:rPr>
                <w:sz w:val="24"/>
              </w:rPr>
            </w:pPr>
            <w:r>
              <w:rPr>
                <w:sz w:val="24"/>
              </w:rPr>
              <w:t>5</w:t>
            </w:r>
            <w:r>
              <w:rPr>
                <w:sz w:val="24"/>
              </w:rPr>
              <w:t>c</w:t>
            </w:r>
            <w:r>
              <w:rPr>
                <w:sz w:val="24"/>
              </w:rPr>
              <w:t>.</w:t>
            </w:r>
            <w:r>
              <w:rPr>
                <w:sz w:val="24"/>
              </w:rPr>
              <w:t>u</w:t>
            </w:r>
            <w:r>
              <w:rPr>
                <w:sz w:val="24"/>
              </w:rPr>
              <w:t xml:space="preserve">. (32/6 weeks, 180 </w:t>
            </w:r>
            <w:r>
              <w:rPr>
                <w:spacing w:val="-2"/>
                <w:sz w:val="24"/>
              </w:rPr>
              <w:t>hours)</w:t>
            </w:r>
          </w:p>
        </w:tc>
      </w:tr>
      <w:tr w:rsidR="007B7540" w:rsidTr="007B7540">
        <w:trPr>
          <w:trHeight w:val="999"/>
        </w:trPr>
        <w:tc>
          <w:tcPr>
            <w:tcW w:w="1838" w:type="dxa"/>
          </w:tcPr>
          <w:p w:rsidR="007B7540" w:rsidRDefault="007B7540" w:rsidP="002D6D2A">
            <w:pPr>
              <w:pStyle w:val="TableParagraph"/>
              <w:ind w:left="107" w:right="202"/>
              <w:rPr>
                <w:sz w:val="24"/>
              </w:rPr>
            </w:pPr>
            <w:r>
              <w:rPr>
                <w:spacing w:val="-2"/>
                <w:sz w:val="24"/>
              </w:rPr>
              <w:t xml:space="preserve">forms </w:t>
            </w:r>
            <w:r>
              <w:rPr>
                <w:sz w:val="24"/>
              </w:rPr>
              <w:t>(including</w:t>
            </w:r>
          </w:p>
          <w:p w:rsidR="007B7540" w:rsidRDefault="007B7540" w:rsidP="002D6D2A">
            <w:pPr>
              <w:pStyle w:val="TableParagraph"/>
              <w:spacing w:line="264" w:lineRule="exact"/>
              <w:ind w:left="107"/>
              <w:rPr>
                <w:sz w:val="24"/>
              </w:rPr>
            </w:pPr>
            <w:r>
              <w:rPr>
                <w:spacing w:val="-2"/>
                <w:sz w:val="24"/>
              </w:rPr>
              <w:t>semesters)</w:t>
            </w:r>
          </w:p>
        </w:tc>
        <w:tc>
          <w:tcPr>
            <w:tcW w:w="7222" w:type="dxa"/>
          </w:tcPr>
          <w:p w:rsidR="007B7540" w:rsidRDefault="007B7540" w:rsidP="002D6D2A">
            <w:pPr>
              <w:pStyle w:val="TableParagraph"/>
              <w:spacing w:line="268" w:lineRule="exact"/>
              <w:rPr>
                <w:sz w:val="24"/>
              </w:rPr>
            </w:pPr>
            <w:r>
              <w:rPr>
                <w:sz w:val="24"/>
              </w:rPr>
              <w:t xml:space="preserve">Credit with grade/2nd </w:t>
            </w:r>
            <w:r>
              <w:rPr>
                <w:spacing w:val="-2"/>
                <w:sz w:val="24"/>
              </w:rPr>
              <w:t>semester</w:t>
            </w:r>
          </w:p>
        </w:tc>
      </w:tr>
    </w:tbl>
    <w:p w:rsidR="006938BD" w:rsidRDefault="006938BD">
      <w:pPr>
        <w:pStyle w:val="TableParagraph"/>
        <w:spacing w:line="270" w:lineRule="atLeast"/>
        <w:jc w:val="both"/>
        <w:rPr>
          <w:sz w:val="24"/>
        </w:rPr>
        <w:sectPr w:rsidR="006938BD">
          <w:footerReference w:type="default" r:id="rId6"/>
          <w:type w:val="continuous"/>
          <w:pgSz w:w="11900" w:h="16840"/>
          <w:pgMar w:top="640" w:right="708" w:bottom="1260" w:left="1700" w:header="0" w:footer="1062" w:gutter="0"/>
          <w:pgNumType w:start="1"/>
          <w:cols w:space="720"/>
        </w:sectPr>
      </w:pPr>
    </w:p>
    <w:p w:rsidR="006938BD" w:rsidRDefault="006938BD">
      <w:pPr>
        <w:spacing w:before="5"/>
        <w:rPr>
          <w:b/>
          <w:sz w:val="2"/>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6938BD">
        <w:trPr>
          <w:trHeight w:val="553"/>
        </w:trPr>
        <w:tc>
          <w:tcPr>
            <w:tcW w:w="1723" w:type="dxa"/>
          </w:tcPr>
          <w:p w:rsidR="006938BD" w:rsidRDefault="003B425E">
            <w:pPr>
              <w:pStyle w:val="TableParagraph"/>
              <w:spacing w:line="270" w:lineRule="exact"/>
              <w:ind w:left="107"/>
              <w:rPr>
                <w:sz w:val="24"/>
              </w:rPr>
            </w:pPr>
            <w:r>
              <w:rPr>
                <w:spacing w:val="-2"/>
                <w:sz w:val="24"/>
              </w:rPr>
              <w:t>Labor intensity,</w:t>
            </w:r>
          </w:p>
          <w:p w:rsidR="006938BD" w:rsidRDefault="003B425E">
            <w:pPr>
              <w:pStyle w:val="TableParagraph"/>
              <w:spacing w:line="264" w:lineRule="exact"/>
              <w:ind w:left="107"/>
              <w:rPr>
                <w:sz w:val="24"/>
              </w:rPr>
            </w:pPr>
            <w:r>
              <w:rPr>
                <w:spacing w:val="-2"/>
                <w:sz w:val="24"/>
              </w:rPr>
              <w:t>z.e./hour</w:t>
            </w:r>
          </w:p>
        </w:tc>
        <w:tc>
          <w:tcPr>
            <w:tcW w:w="7337" w:type="dxa"/>
          </w:tcPr>
          <w:p w:rsidR="006938BD" w:rsidRDefault="003B425E">
            <w:pPr>
              <w:pStyle w:val="TableParagraph"/>
              <w:spacing w:line="270" w:lineRule="exact"/>
              <w:rPr>
                <w:sz w:val="24"/>
              </w:rPr>
            </w:pPr>
            <w:r>
              <w:rPr>
                <w:sz w:val="24"/>
              </w:rPr>
              <w:t xml:space="preserve">5z.e. (32/6 weeks, 180 </w:t>
            </w:r>
            <w:r>
              <w:rPr>
                <w:spacing w:val="-2"/>
                <w:sz w:val="24"/>
              </w:rPr>
              <w:t>hours)</w:t>
            </w:r>
          </w:p>
        </w:tc>
      </w:tr>
      <w:tr w:rsidR="006938BD">
        <w:trPr>
          <w:trHeight w:val="1103"/>
        </w:trPr>
        <w:tc>
          <w:tcPr>
            <w:tcW w:w="1723" w:type="dxa"/>
          </w:tcPr>
          <w:p w:rsidR="006938BD" w:rsidRDefault="003B425E">
            <w:pPr>
              <w:pStyle w:val="TableParagraph"/>
              <w:ind w:left="107" w:right="202"/>
              <w:rPr>
                <w:sz w:val="24"/>
              </w:rPr>
            </w:pPr>
            <w:r>
              <w:rPr>
                <w:spacing w:val="-2"/>
                <w:sz w:val="24"/>
              </w:rPr>
              <w:t xml:space="preserve">forms </w:t>
            </w:r>
            <w:r>
              <w:rPr>
                <w:sz w:val="24"/>
              </w:rPr>
              <w:t>(including</w:t>
            </w:r>
          </w:p>
          <w:p w:rsidR="006938BD" w:rsidRDefault="003B425E">
            <w:pPr>
              <w:pStyle w:val="TableParagraph"/>
              <w:spacing w:line="264" w:lineRule="exact"/>
              <w:ind w:left="107"/>
              <w:rPr>
                <w:sz w:val="24"/>
              </w:rPr>
            </w:pPr>
            <w:r>
              <w:rPr>
                <w:spacing w:val="-2"/>
                <w:sz w:val="24"/>
              </w:rPr>
              <w:t>semesters)</w:t>
            </w:r>
          </w:p>
        </w:tc>
        <w:tc>
          <w:tcPr>
            <w:tcW w:w="7337" w:type="dxa"/>
          </w:tcPr>
          <w:p w:rsidR="006938BD" w:rsidRDefault="003B425E">
            <w:pPr>
              <w:pStyle w:val="TableParagraph"/>
              <w:spacing w:line="268" w:lineRule="exact"/>
              <w:rPr>
                <w:sz w:val="24"/>
              </w:rPr>
            </w:pPr>
            <w:r>
              <w:rPr>
                <w:sz w:val="24"/>
              </w:rPr>
              <w:t xml:space="preserve">Credit with grade/2nd </w:t>
            </w:r>
            <w:r>
              <w:rPr>
                <w:spacing w:val="-2"/>
                <w:sz w:val="24"/>
              </w:rPr>
              <w:t>semester</w:t>
            </w:r>
          </w:p>
        </w:tc>
      </w:tr>
    </w:tbl>
    <w:p w:rsidR="003B425E" w:rsidRDefault="003B425E"/>
    <w:sectPr w:rsidR="003B425E" w:rsidSect="006938BD">
      <w:pgSz w:w="11900" w:h="16840"/>
      <w:pgMar w:top="680" w:right="708" w:bottom="1260" w:left="1700" w:header="0" w:footer="10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D0C" w:rsidRDefault="00B55D0C" w:rsidP="006938BD">
      <w:r>
        <w:separator/>
      </w:r>
    </w:p>
  </w:endnote>
  <w:endnote w:type="continuationSeparator" w:id="1">
    <w:p w:rsidR="00B55D0C" w:rsidRDefault="00B55D0C" w:rsidP="006938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BD" w:rsidRDefault="00912751">
    <w:pPr>
      <w:pStyle w:val="a3"/>
      <w:spacing w:line="14" w:lineRule="auto"/>
      <w:rPr>
        <w:b w:val="0"/>
        <w:sz w:val="20"/>
      </w:rPr>
    </w:pPr>
    <w:r w:rsidRPr="00912751">
      <w:rPr>
        <w:b w:val="0"/>
        <w:sz w:val="20"/>
      </w:rPr>
      <w:pict>
        <v:shapetype id="_x0000_t202" coordsize="21600,21600" o:spt="202" path="m,l,21600r21600,l21600,xe">
          <v:stroke joinstyle="miter"/>
          <v:path gradientshapeok="t" o:connecttype="rect"/>
        </v:shapetype>
        <v:shape id="docshape1" o:spid="_x0000_s1025" type="#_x0000_t202" style="position:absolute;margin-left:312.85pt;margin-top:777.9pt;width:13pt;height:15.3pt;z-index:-251658752;mso-position-horizontal-relative:page;mso-position-vertical-relative:page" filled="f" stroked="f">
          <v:textbox inset="0,0,0,0">
            <w:txbxContent>
              <w:p w:rsidR="006938BD" w:rsidRDefault="00912751">
                <w:pPr>
                  <w:spacing w:before="10"/>
                  <w:ind w:left="60"/>
                  <w:rPr>
                    <w:sz w:val="24"/>
                  </w:rPr>
                </w:pPr>
                <w:r>
                  <w:rPr>
                    <w:spacing w:val="-10"/>
                    <w:sz w:val="24"/>
                  </w:rPr>
                  <w:fldChar w:fldCharType="begin"/>
                </w:r>
                <w:r w:rsidR="003B425E">
                  <w:rPr>
                    <w:spacing w:val="-10"/>
                    <w:sz w:val="24"/>
                  </w:rPr>
                  <w:instrText xml:space="preserve"> PAGE </w:instrText>
                </w:r>
                <w:r>
                  <w:rPr>
                    <w:spacing w:val="-10"/>
                    <w:sz w:val="24"/>
                  </w:rPr>
                  <w:fldChar w:fldCharType="separate"/>
                </w:r>
                <w:r w:rsidR="007B7540">
                  <w:rPr>
                    <w:noProof/>
                    <w:spacing w:val="-10"/>
                    <w:sz w:val="24"/>
                  </w:rPr>
                  <w:t>1</w:t>
                </w:r>
                <w:r>
                  <w:rPr>
                    <w:spacing w:val="-10"/>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D0C" w:rsidRDefault="00B55D0C" w:rsidP="006938BD">
      <w:r>
        <w:separator/>
      </w:r>
    </w:p>
  </w:footnote>
  <w:footnote w:type="continuationSeparator" w:id="1">
    <w:p w:rsidR="00B55D0C" w:rsidRDefault="00B55D0C" w:rsidP="006938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6938BD"/>
    <w:rsid w:val="003B425E"/>
    <w:rsid w:val="006938BD"/>
    <w:rsid w:val="00730EBD"/>
    <w:rsid w:val="007B7540"/>
    <w:rsid w:val="00912751"/>
    <w:rsid w:val="00B55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38B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938BD"/>
    <w:tblPr>
      <w:tblInd w:w="0" w:type="dxa"/>
      <w:tblCellMar>
        <w:top w:w="0" w:type="dxa"/>
        <w:left w:w="0" w:type="dxa"/>
        <w:bottom w:w="0" w:type="dxa"/>
        <w:right w:w="0" w:type="dxa"/>
      </w:tblCellMar>
    </w:tblPr>
  </w:style>
  <w:style w:type="paragraph" w:styleId="a3">
    <w:name w:val="Body Text"/>
    <w:basedOn w:val="a"/>
    <w:uiPriority w:val="1"/>
    <w:qFormat/>
    <w:rsid w:val="006938BD"/>
    <w:rPr>
      <w:b/>
      <w:bCs/>
      <w:sz w:val="24"/>
      <w:szCs w:val="24"/>
    </w:rPr>
  </w:style>
  <w:style w:type="paragraph" w:styleId="a4">
    <w:name w:val="List Paragraph"/>
    <w:basedOn w:val="a"/>
    <w:uiPriority w:val="1"/>
    <w:qFormat/>
    <w:rsid w:val="006938BD"/>
  </w:style>
  <w:style w:type="paragraph" w:customStyle="1" w:styleId="TableParagraph">
    <w:name w:val="Table Paragraph"/>
    <w:basedOn w:val="a"/>
    <w:uiPriority w:val="1"/>
    <w:qFormat/>
    <w:rsid w:val="006938BD"/>
    <w:pPr>
      <w:ind w:left="105"/>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ebb_5905859_737373201_3</dc:title>
  <dc:creator>Mar</dc:creator>
  <cp:lastModifiedBy>Admin</cp:lastModifiedBy>
  <cp:revision>5</cp:revision>
  <dcterms:created xsi:type="dcterms:W3CDTF">2025-04-12T08:50:00Z</dcterms:created>
  <dcterms:modified xsi:type="dcterms:W3CDTF">2025-04-12T08:58:00Z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PDF24 Creator</vt:lpwstr>
  </property>
  <property fmtid="{D5CDD505-2E9C-101B-9397-08002B2CF9AE}" pid="4" name="LastSaved">
    <vt:filetime>2025-04-12T00:00:00Z</vt:filetime>
  </property>
  <property fmtid="{D5CDD505-2E9C-101B-9397-08002B2CF9AE}" pid="5" name="Producer">
    <vt:lpwstr>GPL Ghostscript 9.55.0</vt:lpwstr>
  </property>
</Properties>
</file>